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0" w:firstLineChars="0"/>
        <w:jc w:val="center"/>
        <w:textAlignment w:val="auto"/>
        <w:rPr>
          <w:rFonts w:hint="eastAsia" w:ascii="方正小标宋_GBK" w:hAnsi="方正小标宋_GBK" w:eastAsia="方正小标宋_GBK" w:cs="方正小标宋_GBK"/>
          <w:b w:val="0"/>
          <w:bCs w:val="0"/>
          <w:color w:val="auto"/>
          <w:kern w:val="2"/>
          <w:sz w:val="44"/>
          <w:szCs w:val="44"/>
          <w:lang w:val="en-US" w:eastAsia="zh-CN" w:bidi="ar"/>
        </w:rPr>
      </w:pPr>
      <w:r>
        <w:rPr>
          <w:rFonts w:hint="eastAsia" w:ascii="方正小标宋_GBK" w:hAnsi="方正小标宋_GBK" w:eastAsia="方正小标宋_GBK" w:cs="方正小标宋_GBK"/>
          <w:b w:val="0"/>
          <w:bCs w:val="0"/>
          <w:color w:val="auto"/>
          <w:kern w:val="2"/>
          <w:sz w:val="44"/>
          <w:szCs w:val="44"/>
          <w:lang w:val="en-US" w:eastAsia="zh-CN" w:bidi="ar"/>
        </w:rPr>
        <w:t>成都东部新区人民调解专家库运行管理办法</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为充分发挥人民调解在预防化解矛盾纠纷中的第一道防线作用，切实加强人民调解专家库的运行管理，全面推进新区人民调解规范化建设，根据《中华人民共和国人民调解法》《四川省人民调解条例》等有关规定，制定本办法。</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黑体_GBK" w:hAnsi="方正黑体_GBK" w:eastAsia="方正黑体_GBK" w:cs="方正黑体_GBK"/>
          <w:sz w:val="32"/>
          <w:szCs w:val="32"/>
          <w:lang w:val="en-US" w:eastAsia="zh-CN"/>
        </w:rPr>
        <w:t>第一章 总则</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第一条 </w:t>
      </w:r>
      <w:r>
        <w:rPr>
          <w:rFonts w:hint="eastAsia" w:ascii="方正仿宋_GBK" w:hAnsi="方正仿宋_GBK" w:eastAsia="方正仿宋_GBK" w:cs="方正仿宋_GBK"/>
          <w:b w:val="0"/>
          <w:bCs w:val="0"/>
          <w:color w:val="auto"/>
          <w:kern w:val="2"/>
          <w:sz w:val="32"/>
          <w:szCs w:val="32"/>
          <w:lang w:val="en-US" w:eastAsia="zh-CN" w:bidi="ar"/>
        </w:rPr>
        <w:t>本办法适用于成都东部新区人民调解专家库（以下简称专家库）的建设、运行和管理。</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第二条</w:t>
      </w:r>
      <w:r>
        <w:rPr>
          <w:rFonts w:hint="eastAsia" w:ascii="方正仿宋_GBK" w:hAnsi="方正仿宋_GBK" w:eastAsia="方正仿宋_GBK" w:cs="方正仿宋_GBK"/>
          <w:b w:val="0"/>
          <w:bCs w:val="0"/>
          <w:color w:val="auto"/>
          <w:kern w:val="2"/>
          <w:sz w:val="32"/>
          <w:szCs w:val="32"/>
          <w:lang w:val="en-US" w:eastAsia="zh-CN" w:bidi="ar"/>
        </w:rPr>
        <w:t xml:space="preserve"> 成都东部新区人民调解指导中心（以下简称指导中心）由应急安全管理局组建，负责专家库的动态维护及日常管理。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第三条</w:t>
      </w:r>
      <w:r>
        <w:rPr>
          <w:rFonts w:hint="eastAsia" w:ascii="方正仿宋_GBK" w:hAnsi="方正仿宋_GBK" w:eastAsia="方正仿宋_GBK" w:cs="方正仿宋_GBK"/>
          <w:b w:val="0"/>
          <w:bCs w:val="0"/>
          <w:color w:val="auto"/>
          <w:kern w:val="2"/>
          <w:sz w:val="32"/>
          <w:szCs w:val="32"/>
          <w:lang w:val="en-US" w:eastAsia="zh-CN" w:bidi="ar"/>
        </w:rPr>
        <w:t xml:space="preserve"> 专家库由邻里纠纷、医疗纠纷、物业纠纷、劳动保障纠纷、婚姻家庭纠纷、山林土地纠纷、征地拆迁纠纷、生产经营纠纷、损害赔偿纠纷、环境污染纠纷、房屋宅基地纠纷、道路交通事故纠纷等领域人民调解专家（以下简称调解专家）名录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第四条 </w:t>
      </w:r>
      <w:r>
        <w:rPr>
          <w:rFonts w:hint="eastAsia" w:ascii="方正仿宋_GBK" w:hAnsi="方正仿宋_GBK" w:eastAsia="方正仿宋_GBK" w:cs="方正仿宋_GBK"/>
          <w:b w:val="0"/>
          <w:bCs w:val="0"/>
          <w:color w:val="auto"/>
          <w:kern w:val="2"/>
          <w:sz w:val="32"/>
          <w:szCs w:val="32"/>
          <w:lang w:val="en-US" w:eastAsia="zh-CN" w:bidi="ar"/>
        </w:rPr>
        <w:t>入库的调解专家应遵守本办法。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 聘任程序和任职条件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第五条</w:t>
      </w:r>
      <w:r>
        <w:rPr>
          <w:rFonts w:hint="eastAsia" w:ascii="方正仿宋_GBK" w:hAnsi="方正仿宋_GBK" w:eastAsia="方正仿宋_GBK" w:cs="方正仿宋_GBK"/>
          <w:b w:val="0"/>
          <w:bCs w:val="0"/>
          <w:color w:val="auto"/>
          <w:kern w:val="2"/>
          <w:sz w:val="32"/>
          <w:szCs w:val="32"/>
          <w:lang w:val="en-US" w:eastAsia="zh-CN" w:bidi="ar"/>
        </w:rPr>
        <w:t xml:space="preserve"> 调解专家按照个人申请或组织推荐、指导中心审查审定的方式产生。指导中心对入选专家库的人员颁发聘书，聘任期为</w:t>
      </w:r>
      <w:r>
        <w:rPr>
          <w:rFonts w:hint="default" w:ascii="Times New Roman" w:hAnsi="Times New Roman" w:eastAsia="方正仿宋_GBK" w:cs="Times New Roman"/>
          <w:b w:val="0"/>
          <w:bCs w:val="0"/>
          <w:color w:val="auto"/>
          <w:kern w:val="2"/>
          <w:sz w:val="32"/>
          <w:szCs w:val="32"/>
          <w:lang w:val="en-US" w:eastAsia="zh-CN" w:bidi="ar"/>
        </w:rPr>
        <w:t>3</w:t>
      </w:r>
      <w:r>
        <w:rPr>
          <w:rFonts w:hint="eastAsia" w:ascii="方正仿宋_GBK" w:hAnsi="方正仿宋_GBK" w:eastAsia="方正仿宋_GBK" w:cs="方正仿宋_GBK"/>
          <w:b w:val="0"/>
          <w:bCs w:val="0"/>
          <w:color w:val="auto"/>
          <w:kern w:val="2"/>
          <w:sz w:val="32"/>
          <w:szCs w:val="32"/>
          <w:lang w:val="en-US" w:eastAsia="zh-CN" w:bidi="ar"/>
        </w:rPr>
        <w:t>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第六条 </w:t>
      </w:r>
      <w:r>
        <w:rPr>
          <w:rFonts w:hint="eastAsia" w:ascii="方正仿宋_GBK" w:hAnsi="方正仿宋_GBK" w:eastAsia="方正仿宋_GBK" w:cs="方正仿宋_GBK"/>
          <w:b w:val="0"/>
          <w:bCs w:val="0"/>
          <w:color w:val="auto"/>
          <w:kern w:val="2"/>
          <w:sz w:val="32"/>
          <w:szCs w:val="32"/>
          <w:lang w:val="en-US" w:eastAsia="zh-CN" w:bidi="ar"/>
        </w:rPr>
        <w:t>调解专家应当具备以下条件：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（一）拥护中国共产党领导，</w:t>
      </w:r>
      <w:r>
        <w:rPr>
          <w:rFonts w:hint="eastAsia" w:ascii="方正仿宋_GBK" w:hAnsi="方正仿宋_GBK" w:eastAsia="方正仿宋_GBK" w:cs="方正仿宋_GBK"/>
          <w:color w:val="000000" w:themeColor="text1"/>
          <w:sz w:val="32"/>
          <w:szCs w:val="32"/>
          <w14:textFill>
            <w14:solidFill>
              <w14:schemeClr w14:val="tx1"/>
            </w14:solidFill>
          </w14:textFill>
        </w:rPr>
        <w:t>政治立场坚定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遵守国家法律法规，品德高尚、公道正派、作风严谨，具有良好的职业操守，无不良行为和信用记录；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righ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熟悉人民调解法律法规和政策，具有相应的理论知识和实践经验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i w:val="0"/>
          <w:iCs w:val="0"/>
          <w:caps w:val="0"/>
          <w:color w:val="000000" w:themeColor="text1"/>
          <w:spacing w:val="0"/>
          <w:kern w:val="0"/>
          <w:sz w:val="32"/>
          <w:szCs w:val="32"/>
          <w:lang w:val="en-US" w:eastAsia="zh-CN" w:bidi="ar"/>
          <w14:textFill>
            <w14:solidFill>
              <w14:schemeClr w14:val="tx1"/>
            </w14:solidFill>
          </w14:textFill>
        </w:rPr>
        <w:t>（三）热心公益事业，开展调解相关工作</w:t>
      </w:r>
      <w:r>
        <w:rPr>
          <w:rFonts w:hint="default" w:ascii="Times New Roman" w:hAnsi="Times New Roman" w:eastAsia="方正仿宋_GBK" w:cs="Times New Roman"/>
          <w:i w:val="0"/>
          <w:iCs w:val="0"/>
          <w:caps w:val="0"/>
          <w:color w:val="000000" w:themeColor="text1"/>
          <w:spacing w:val="0"/>
          <w:kern w:val="0"/>
          <w:sz w:val="32"/>
          <w:szCs w:val="32"/>
          <w:lang w:val="en-US" w:eastAsia="zh-CN" w:bidi="ar"/>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kern w:val="0"/>
          <w:sz w:val="32"/>
          <w:szCs w:val="32"/>
          <w:lang w:val="en-US" w:eastAsia="zh-CN" w:bidi="ar"/>
          <w14:textFill>
            <w14:solidFill>
              <w14:schemeClr w14:val="tx1"/>
            </w14:solidFill>
          </w14:textFill>
        </w:rPr>
        <w:t xml:space="preserve">年以上，在人民调解领域具有较高的工作建树以及特色的调解工作方法和经验；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i w:val="0"/>
          <w:iCs w:val="0"/>
          <w:caps w:val="0"/>
          <w:color w:val="000000" w:themeColor="text1"/>
          <w:spacing w:val="0"/>
          <w:kern w:val="0"/>
          <w:sz w:val="32"/>
          <w:szCs w:val="32"/>
          <w:lang w:val="en-US" w:eastAsia="zh-CN" w:bidi="ar"/>
          <w14:textFill>
            <w14:solidFill>
              <w14:schemeClr w14:val="tx1"/>
            </w14:solidFill>
          </w14:textFill>
        </w:rPr>
        <w:t>（四）身体健康，</w:t>
      </w:r>
      <w:r>
        <w:rPr>
          <w:rFonts w:hint="eastAsia" w:ascii="方正仿宋_GBK" w:hAnsi="方正仿宋_GBK" w:eastAsia="方正仿宋_GBK" w:cs="方正仿宋_GBK"/>
          <w:b w:val="0"/>
          <w:bCs w:val="0"/>
          <w:color w:val="auto"/>
          <w:kern w:val="2"/>
          <w:sz w:val="32"/>
          <w:szCs w:val="32"/>
          <w:lang w:val="en-US" w:eastAsia="zh-CN" w:bidi="ar"/>
        </w:rPr>
        <w:t>具有正常履行职责的身体条件。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第七条</w:t>
      </w:r>
      <w:r>
        <w:rPr>
          <w:rFonts w:hint="eastAsia" w:ascii="方正仿宋_GBK" w:hAnsi="方正仿宋_GBK" w:eastAsia="方正仿宋_GBK" w:cs="方正仿宋_GBK"/>
          <w:b w:val="0"/>
          <w:bCs w:val="0"/>
          <w:color w:val="auto"/>
          <w:kern w:val="2"/>
          <w:sz w:val="32"/>
          <w:szCs w:val="32"/>
          <w:lang w:val="en-US" w:eastAsia="zh-CN" w:bidi="ar"/>
        </w:rPr>
        <w:t xml:space="preserve"> 有下列情形之一的，不得申请推荐: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（一）因犯罪受过刑事处罚的；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（二）被开除公职的；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（三）被吊销相关从业资格或正在接受有关部门调查的;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（四）有其他严重违纪违法行为，不宜担任调解专家的。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b w:val="0"/>
          <w:bCs w:val="0"/>
          <w:color w:val="auto"/>
          <w:kern w:val="2"/>
          <w:sz w:val="32"/>
          <w:szCs w:val="32"/>
          <w:lang w:val="en-US" w:eastAsia="zh-CN" w:bidi="ar"/>
        </w:rPr>
      </w:pPr>
      <w:r>
        <w:rPr>
          <w:rFonts w:hint="eastAsia" w:ascii="方正黑体_GBK" w:hAnsi="方正黑体_GBK" w:eastAsia="方正黑体_GBK" w:cs="方正黑体_GBK"/>
          <w:b w:val="0"/>
          <w:bCs w:val="0"/>
          <w:color w:val="auto"/>
          <w:kern w:val="2"/>
          <w:sz w:val="32"/>
          <w:szCs w:val="32"/>
          <w:lang w:val="en-US" w:eastAsia="zh-CN" w:bidi="ar"/>
        </w:rPr>
        <w:t>第三章 工作内容和履职规范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第八条</w:t>
      </w:r>
      <w:r>
        <w:rPr>
          <w:rFonts w:hint="eastAsia" w:ascii="方正仿宋_GBK" w:hAnsi="方正仿宋_GBK" w:eastAsia="方正仿宋_GBK" w:cs="方正仿宋_GBK"/>
          <w:b w:val="0"/>
          <w:bCs w:val="0"/>
          <w:color w:val="auto"/>
          <w:kern w:val="2"/>
          <w:sz w:val="32"/>
          <w:szCs w:val="32"/>
          <w:lang w:val="en-US" w:eastAsia="zh-CN" w:bidi="ar"/>
        </w:rPr>
        <w:t xml:space="preserve"> 调解专家的工作内容：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kern w:val="2"/>
          <w:sz w:val="32"/>
          <w:szCs w:val="32"/>
          <w:lang w:val="en-US" w:eastAsia="zh-CN" w:bidi="ar"/>
        </w:rPr>
      </w:pPr>
      <w:r>
        <w:rPr>
          <w:rFonts w:hint="eastAsia" w:ascii="方正仿宋_GBK" w:hAnsi="方正仿宋_GBK" w:eastAsia="方正仿宋_GBK" w:cs="方正仿宋_GBK"/>
          <w:b w:val="0"/>
          <w:bCs w:val="0"/>
          <w:color w:val="auto"/>
          <w:spacing w:val="0"/>
          <w:kern w:val="2"/>
          <w:sz w:val="32"/>
          <w:szCs w:val="32"/>
          <w:lang w:val="en-US" w:eastAsia="zh-CN" w:bidi="ar"/>
        </w:rPr>
        <w:t>（一）理论研究。受邀参加疑难或特别重大疑难纠纷研讨及重要课题调研，为人民调解工作建言献策。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kern w:val="2"/>
          <w:sz w:val="32"/>
          <w:szCs w:val="32"/>
          <w:lang w:val="en-US" w:eastAsia="zh-CN" w:bidi="ar"/>
        </w:rPr>
      </w:pPr>
      <w:r>
        <w:rPr>
          <w:rFonts w:hint="eastAsia" w:ascii="方正仿宋_GBK" w:hAnsi="方正仿宋_GBK" w:eastAsia="方正仿宋_GBK" w:cs="方正仿宋_GBK"/>
          <w:b w:val="0"/>
          <w:bCs w:val="0"/>
          <w:color w:val="auto"/>
          <w:spacing w:val="0"/>
          <w:kern w:val="2"/>
          <w:sz w:val="32"/>
          <w:szCs w:val="32"/>
          <w:lang w:val="en-US" w:eastAsia="zh-CN" w:bidi="ar"/>
        </w:rPr>
        <w:t>（二）调解服务。受指派开展疑难或特别重大疑难纠纷调处。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16" w:firstLineChars="200"/>
        <w:jc w:val="both"/>
        <w:textAlignment w:val="auto"/>
        <w:rPr>
          <w:rFonts w:hint="eastAsia" w:ascii="方正仿宋_GBK" w:hAnsi="方正仿宋_GBK" w:eastAsia="方正仿宋_GBK" w:cs="方正仿宋_GBK"/>
          <w:b w:val="0"/>
          <w:bCs w:val="0"/>
          <w:color w:val="auto"/>
          <w:spacing w:val="-6"/>
          <w:kern w:val="2"/>
          <w:sz w:val="32"/>
          <w:szCs w:val="32"/>
          <w:lang w:val="en-US" w:eastAsia="zh-CN" w:bidi="ar"/>
        </w:rPr>
      </w:pPr>
      <w:r>
        <w:rPr>
          <w:rFonts w:hint="eastAsia" w:ascii="方正仿宋_GBK" w:hAnsi="方正仿宋_GBK" w:eastAsia="方正仿宋_GBK" w:cs="方正仿宋_GBK"/>
          <w:b w:val="0"/>
          <w:bCs w:val="0"/>
          <w:color w:val="auto"/>
          <w:spacing w:val="-6"/>
          <w:kern w:val="2"/>
          <w:sz w:val="32"/>
          <w:szCs w:val="32"/>
          <w:lang w:val="en-US" w:eastAsia="zh-CN" w:bidi="ar"/>
        </w:rPr>
        <w:t>（三）宣传服务。受邀参加人民调解法律法规宣传教育，普及人民调解知识。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kern w:val="2"/>
          <w:sz w:val="32"/>
          <w:szCs w:val="32"/>
          <w:lang w:val="en-US" w:eastAsia="zh-CN" w:bidi="ar"/>
        </w:rPr>
      </w:pPr>
      <w:r>
        <w:rPr>
          <w:rFonts w:hint="eastAsia" w:ascii="方正仿宋_GBK" w:hAnsi="方正仿宋_GBK" w:eastAsia="方正仿宋_GBK" w:cs="方正仿宋_GBK"/>
          <w:b w:val="0"/>
          <w:bCs w:val="0"/>
          <w:color w:val="auto"/>
          <w:spacing w:val="0"/>
          <w:kern w:val="2"/>
          <w:sz w:val="32"/>
          <w:szCs w:val="32"/>
          <w:lang w:val="en-US" w:eastAsia="zh-CN" w:bidi="ar"/>
        </w:rPr>
        <w:t>（四）业务培训。受邀开展人民调解业务培训，传授人民调解技能。</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Chars="0" w:right="0" w:rightChars="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第九条</w:t>
      </w:r>
      <w:r>
        <w:rPr>
          <w:rFonts w:hint="eastAsia" w:ascii="方正仿宋_GBK" w:hAnsi="方正仿宋_GBK" w:eastAsia="方正仿宋_GBK" w:cs="方正仿宋_GBK"/>
          <w:b w:val="0"/>
          <w:bCs w:val="0"/>
          <w:color w:val="auto"/>
          <w:kern w:val="2"/>
          <w:sz w:val="32"/>
          <w:szCs w:val="32"/>
          <w:lang w:val="en-US" w:eastAsia="zh-CN" w:bidi="ar"/>
        </w:rPr>
        <w:t xml:space="preserve"> 调解专家调解纠纷应当遵循下列原则：</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（一）在当事人自愿、平等的基础上进行调解；</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（二）不违背法律、法规和国家政策；</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default"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（三）尊重当事人的权利，不得因调解而阻止当事人依法通过仲裁、行政、司法等途径维护自己的权利。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第十条</w:t>
      </w:r>
      <w:r>
        <w:rPr>
          <w:rFonts w:hint="eastAsia" w:ascii="方正仿宋_GBK" w:hAnsi="方正仿宋_GBK" w:eastAsia="方正仿宋_GBK" w:cs="方正仿宋_GBK"/>
          <w:b w:val="0"/>
          <w:bCs w:val="0"/>
          <w:color w:val="auto"/>
          <w:kern w:val="2"/>
          <w:sz w:val="32"/>
          <w:szCs w:val="32"/>
          <w:lang w:val="en-US" w:eastAsia="zh-CN" w:bidi="ar"/>
        </w:rPr>
        <w:t xml:space="preserve"> 调解专家的权利：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（一）接受指导中心的指派，根据具体情况采取适当的方法进行调解，提出解决争议的方案建议;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（二）调解活动中要求当事人如实陈述纠纷事实和情况，并提供与调解纠纷有关的材料；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（三）对专家库管理和人民调解工作提出建议；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i w:val="0"/>
          <w:iCs w:val="0"/>
          <w:caps w:val="0"/>
          <w:color w:val="000000" w:themeColor="text1"/>
          <w:spacing w:val="0"/>
          <w:kern w:val="0"/>
          <w:sz w:val="32"/>
          <w:szCs w:val="32"/>
          <w:highlight w:val="none"/>
          <w:lang w:val="en-US" w:eastAsia="zh-CN" w:bidi="ar"/>
          <w14:textFill>
            <w14:solidFill>
              <w14:schemeClr w14:val="tx1"/>
            </w14:solidFill>
          </w14:textFill>
        </w:rPr>
        <w:t>（四）依据《成都东部新区人民调解经费管理办法》申报领取调解个案补贴；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16" w:firstLineChars="200"/>
        <w:jc w:val="both"/>
        <w:textAlignment w:val="auto"/>
        <w:rPr>
          <w:rFonts w:hint="default"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spacing w:val="-6"/>
          <w:kern w:val="2"/>
          <w:sz w:val="32"/>
          <w:szCs w:val="32"/>
          <w:lang w:val="en-US" w:eastAsia="zh-CN" w:bidi="ar"/>
        </w:rPr>
        <w:t>（五）接受指导中心邀请开展</w:t>
      </w:r>
      <w:r>
        <w:rPr>
          <w:rFonts w:hint="eastAsia" w:ascii="方正仿宋_GBK" w:hAnsi="方正仿宋_GBK" w:eastAsia="方正仿宋_GBK" w:cs="方正仿宋_GBK"/>
          <w:i w:val="0"/>
          <w:iCs w:val="0"/>
          <w:caps w:val="0"/>
          <w:color w:val="000000" w:themeColor="text1"/>
          <w:spacing w:val="-6"/>
          <w:kern w:val="0"/>
          <w:sz w:val="32"/>
          <w:szCs w:val="32"/>
          <w:lang w:val="en-US" w:eastAsia="zh-CN" w:bidi="ar"/>
          <w14:textFill>
            <w14:solidFill>
              <w14:schemeClr w14:val="tx1"/>
            </w14:solidFill>
          </w14:textFill>
        </w:rPr>
        <w:t>人民调解业务</w:t>
      </w:r>
      <w:r>
        <w:rPr>
          <w:rFonts w:hint="eastAsia" w:ascii="方正仿宋_GBK" w:hAnsi="方正仿宋_GBK" w:eastAsia="方正仿宋_GBK" w:cs="方正仿宋_GBK"/>
          <w:b w:val="0"/>
          <w:bCs w:val="0"/>
          <w:color w:val="auto"/>
          <w:spacing w:val="-6"/>
          <w:kern w:val="2"/>
          <w:sz w:val="32"/>
          <w:szCs w:val="32"/>
          <w:lang w:val="en-US" w:eastAsia="zh-CN" w:bidi="ar"/>
        </w:rPr>
        <w:t>培训</w:t>
      </w:r>
      <w:r>
        <w:rPr>
          <w:rFonts w:hint="eastAsia" w:ascii="方正仿宋_GBK" w:hAnsi="方正仿宋_GBK" w:eastAsia="方正仿宋_GBK" w:cs="方正仿宋_GBK"/>
          <w:i w:val="0"/>
          <w:iCs w:val="0"/>
          <w:caps w:val="0"/>
          <w:color w:val="000000" w:themeColor="text1"/>
          <w:spacing w:val="-6"/>
          <w:kern w:val="0"/>
          <w:sz w:val="32"/>
          <w:szCs w:val="32"/>
          <w:lang w:val="en-US" w:eastAsia="zh-CN" w:bidi="ar"/>
          <w14:textFill>
            <w14:solidFill>
              <w14:schemeClr w14:val="tx1"/>
            </w14:solidFill>
          </w14:textFill>
        </w:rPr>
        <w:t>，培训相关费用按照《成都东部新区党政机关培训费管理办法》执行。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第十一条 </w:t>
      </w:r>
      <w:r>
        <w:rPr>
          <w:rFonts w:hint="eastAsia" w:ascii="方正仿宋_GBK" w:hAnsi="方正仿宋_GBK" w:eastAsia="方正仿宋_GBK" w:cs="方正仿宋_GBK"/>
          <w:b w:val="0"/>
          <w:bCs w:val="0"/>
          <w:color w:val="auto"/>
          <w:kern w:val="2"/>
          <w:sz w:val="32"/>
          <w:szCs w:val="32"/>
          <w:lang w:val="en-US" w:eastAsia="zh-CN" w:bidi="ar"/>
        </w:rPr>
        <w:t>调解专家的义务：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（一）遵守职业道德，不得泄露当事人的个人隐私或者商业秘密；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二）告知当事人权利义务、调解规则、调解程序、调解协议效力、司法确认申请等事项；通过说服、疏导等方法，促使当事人在平等协商基础上自愿达成调解协议，当事人认为无需制定调解协议书的，可以采取口头协议方式，调解专家应当记录协议内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（三）完成调解过程中的调解笔录、调解协议制作、调解档案整理以及指导中心要求的其他统计、备案或存档留痕工作;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（四）审查当事人是否存在通过调解及司法确认达到恶意规避债务等虚假调解情形。发现当事人存在虚假调解的应及时中止调解，并向指导中心报告；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16" w:firstLineChars="200"/>
        <w:jc w:val="both"/>
        <w:textAlignment w:val="auto"/>
        <w:rPr>
          <w:rFonts w:hint="default" w:ascii="方正仿宋_GBK" w:hAnsi="方正仿宋_GBK" w:eastAsia="方正仿宋_GBK" w:cs="方正仿宋_GBK"/>
          <w:b w:val="0"/>
          <w:bCs w:val="0"/>
          <w:color w:val="auto"/>
          <w:spacing w:val="-6"/>
          <w:kern w:val="2"/>
          <w:sz w:val="32"/>
          <w:szCs w:val="32"/>
          <w:lang w:val="en-US" w:eastAsia="zh-CN" w:bidi="ar"/>
        </w:rPr>
      </w:pPr>
      <w:r>
        <w:rPr>
          <w:rFonts w:hint="eastAsia" w:ascii="方正仿宋_GBK" w:hAnsi="方正仿宋_GBK" w:eastAsia="方正仿宋_GBK" w:cs="方正仿宋_GBK"/>
          <w:b w:val="0"/>
          <w:bCs w:val="0"/>
          <w:color w:val="auto"/>
          <w:spacing w:val="-6"/>
          <w:kern w:val="2"/>
          <w:sz w:val="32"/>
          <w:szCs w:val="32"/>
          <w:lang w:val="en-US" w:eastAsia="zh-CN" w:bidi="ar"/>
        </w:rPr>
        <w:t>（五）调解专家在调解纠纷过程中，发现纠纷有可能激化的，应当采取有针对性的预防措施；对有可能引起治安案件、刑事案件的纠纷，应当及时向当地公安机关或者有关部门报告。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第十二条</w:t>
      </w:r>
      <w:r>
        <w:rPr>
          <w:rFonts w:hint="eastAsia" w:ascii="方正仿宋_GBK" w:hAnsi="方正仿宋_GBK" w:eastAsia="方正仿宋_GBK" w:cs="方正仿宋_GBK"/>
          <w:b w:val="0"/>
          <w:bCs w:val="0"/>
          <w:color w:val="auto"/>
          <w:kern w:val="2"/>
          <w:sz w:val="32"/>
          <w:szCs w:val="32"/>
          <w:lang w:val="en-US" w:eastAsia="zh-CN" w:bidi="ar"/>
        </w:rPr>
        <w:t xml:space="preserve"> 未经指导中心批准，调解专家不得以入库专家名义组织或参加任何活动。调解专家是纠纷案件的申请人、申请人的近亲属或者与所调解案件有利害关系的，应当回避。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方正黑体_GBK" w:hAnsi="方正黑体_GBK" w:eastAsia="方正黑体_GBK" w:cs="方正黑体_GBK"/>
          <w:b w:val="0"/>
          <w:bCs w:val="0"/>
          <w:color w:val="auto"/>
          <w:kern w:val="2"/>
          <w:sz w:val="32"/>
          <w:szCs w:val="32"/>
          <w:lang w:val="en-US" w:eastAsia="zh-CN" w:bidi="ar"/>
        </w:rPr>
      </w:pPr>
      <w:r>
        <w:rPr>
          <w:rFonts w:hint="eastAsia" w:ascii="方正黑体_GBK" w:hAnsi="方正黑体_GBK" w:eastAsia="方正黑体_GBK" w:cs="方正黑体_GBK"/>
          <w:b w:val="0"/>
          <w:bCs w:val="0"/>
          <w:color w:val="auto"/>
          <w:kern w:val="2"/>
          <w:sz w:val="32"/>
          <w:szCs w:val="32"/>
          <w:lang w:val="en-US" w:eastAsia="zh-CN" w:bidi="ar"/>
        </w:rPr>
        <w:t>第四章 调解专家的管理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第十三条 </w:t>
      </w:r>
      <w:r>
        <w:rPr>
          <w:rFonts w:hint="eastAsia" w:ascii="方正仿宋_GBK" w:hAnsi="方正仿宋_GBK" w:eastAsia="方正仿宋_GBK" w:cs="方正仿宋_GBK"/>
          <w:b w:val="0"/>
          <w:bCs w:val="0"/>
          <w:color w:val="auto"/>
          <w:kern w:val="2"/>
          <w:sz w:val="32"/>
          <w:szCs w:val="32"/>
          <w:lang w:val="en-US" w:eastAsia="zh-CN" w:bidi="ar"/>
        </w:rPr>
        <w:t>指导中心主任由应急安全管理局分管领导担任，副主任由司法信访处主要负责人担任，司法信访处负责人民调解的工作人员为成员。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第十四条 </w:t>
      </w:r>
      <w:r>
        <w:rPr>
          <w:rFonts w:hint="eastAsia" w:ascii="方正仿宋_GBK" w:hAnsi="方正仿宋_GBK" w:eastAsia="方正仿宋_GBK" w:cs="方正仿宋_GBK"/>
          <w:b w:val="0"/>
          <w:bCs w:val="0"/>
          <w:color w:val="auto"/>
          <w:kern w:val="2"/>
          <w:sz w:val="32"/>
          <w:szCs w:val="32"/>
          <w:lang w:val="en-US" w:eastAsia="zh-CN" w:bidi="ar"/>
        </w:rPr>
        <w:t>指导中心的职责：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（一）组织调解专家选聘、审核、发证、考核、续聘、解聘等工作；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（二）受理登记矛盾纠纷，指派调解专家开展疑难或特别重大疑难纠纷调处，邀请调解专家开展人民调解业务培训及参加相关法律法规宣传教育活动等；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（三）建立工作档案，将调解专家调处矛盾纠纷案件材料立卷归档；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（四）管理维护调解专家数据库，建立专家库信息档案；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（五）</w:t>
      </w:r>
      <w:r>
        <w:rPr>
          <w:rFonts w:hint="eastAsia" w:ascii="方正仿宋_GBK" w:hAnsi="方正仿宋_GBK" w:eastAsia="方正仿宋_GBK" w:cs="方正仿宋_GBK"/>
          <w:b w:val="0"/>
          <w:bCs w:val="0"/>
          <w:color w:val="auto"/>
          <w:spacing w:val="11"/>
          <w:kern w:val="2"/>
          <w:sz w:val="32"/>
          <w:szCs w:val="32"/>
          <w:lang w:val="en-US" w:eastAsia="zh-CN" w:bidi="ar"/>
        </w:rPr>
        <w:t>组织开展专家库的调查研究，健全完善调解工作制度；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spacing w:val="11"/>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（六）</w:t>
      </w:r>
      <w:r>
        <w:rPr>
          <w:rFonts w:hint="eastAsia" w:ascii="方正仿宋_GBK" w:hAnsi="方正仿宋_GBK" w:eastAsia="方正仿宋_GBK" w:cs="方正仿宋_GBK"/>
          <w:b w:val="0"/>
          <w:bCs w:val="0"/>
          <w:color w:val="auto"/>
          <w:spacing w:val="11"/>
          <w:kern w:val="2"/>
          <w:sz w:val="32"/>
          <w:szCs w:val="32"/>
          <w:lang w:val="en-US" w:eastAsia="zh-CN" w:bidi="ar"/>
        </w:rPr>
        <w:t>负责协助矛盾纠纷调处、专家库运行管理的其他事项。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第十五条 </w:t>
      </w:r>
      <w:r>
        <w:rPr>
          <w:rFonts w:hint="eastAsia" w:ascii="方正仿宋_GBK" w:hAnsi="方正仿宋_GBK" w:eastAsia="方正仿宋_GBK" w:cs="方正仿宋_GBK"/>
          <w:b w:val="0"/>
          <w:bCs w:val="0"/>
          <w:color w:val="auto"/>
          <w:kern w:val="2"/>
          <w:sz w:val="32"/>
          <w:szCs w:val="32"/>
          <w:lang w:val="en-US" w:eastAsia="zh-CN" w:bidi="ar"/>
        </w:rPr>
        <w:t>专家库建立进入和退出机制，实行动态管理。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第十六条 </w:t>
      </w:r>
      <w:r>
        <w:rPr>
          <w:rFonts w:hint="eastAsia" w:ascii="方正仿宋_GBK" w:hAnsi="方正仿宋_GBK" w:eastAsia="方正仿宋_GBK" w:cs="方正仿宋_GBK"/>
          <w:b w:val="0"/>
          <w:bCs w:val="0"/>
          <w:color w:val="auto"/>
          <w:kern w:val="2"/>
          <w:sz w:val="32"/>
          <w:szCs w:val="32"/>
          <w:lang w:val="en-US" w:eastAsia="zh-CN" w:bidi="ar"/>
        </w:rPr>
        <w:t>首次组建专家库由指导中心面向社会发布招募公告，通过个人申请或组织推荐、指导中心审查审定的办法产生。指导中心在常态化运行中，根据需要按照本办法规定招募成员加入专家库。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第十七条 </w:t>
      </w:r>
      <w:r>
        <w:rPr>
          <w:rFonts w:hint="eastAsia" w:ascii="方正仿宋_GBK" w:hAnsi="方正仿宋_GBK" w:eastAsia="方正仿宋_GBK" w:cs="方正仿宋_GBK"/>
          <w:b w:val="0"/>
          <w:bCs w:val="0"/>
          <w:color w:val="auto"/>
          <w:kern w:val="2"/>
          <w:sz w:val="32"/>
          <w:szCs w:val="32"/>
          <w:lang w:val="en-US" w:eastAsia="zh-CN" w:bidi="ar"/>
        </w:rPr>
        <w:t xml:space="preserve">调解专家在聘任期内因身体状况、工作变动等原因辞去调解专家职务的，应当在 </w:t>
      </w:r>
      <w:r>
        <w:rPr>
          <w:rFonts w:hint="default" w:ascii="Times New Roman" w:hAnsi="Times New Roman" w:eastAsia="方正仿宋_GBK" w:cs="Times New Roman"/>
          <w:b w:val="0"/>
          <w:bCs w:val="0"/>
          <w:color w:val="auto"/>
          <w:kern w:val="2"/>
          <w:sz w:val="32"/>
          <w:szCs w:val="32"/>
          <w:lang w:val="en-US" w:eastAsia="zh-CN" w:bidi="ar"/>
        </w:rPr>
        <w:t>15</w:t>
      </w:r>
      <w:r>
        <w:rPr>
          <w:rFonts w:hint="eastAsia" w:ascii="Times New Roman" w:hAnsi="Times New Roman" w:eastAsia="方正仿宋_GBK" w:cs="Times New Roman"/>
          <w:b w:val="0"/>
          <w:bCs w:val="0"/>
          <w:color w:val="auto"/>
          <w:kern w:val="2"/>
          <w:sz w:val="32"/>
          <w:szCs w:val="32"/>
          <w:lang w:val="en-US" w:eastAsia="zh-CN" w:bidi="ar"/>
        </w:rPr>
        <w:t xml:space="preserve"> </w:t>
      </w:r>
      <w:r>
        <w:rPr>
          <w:rFonts w:hint="eastAsia" w:ascii="方正仿宋_GBK" w:hAnsi="方正仿宋_GBK" w:eastAsia="方正仿宋_GBK" w:cs="方正仿宋_GBK"/>
          <w:b w:val="0"/>
          <w:bCs w:val="0"/>
          <w:color w:val="auto"/>
          <w:kern w:val="2"/>
          <w:sz w:val="32"/>
          <w:szCs w:val="32"/>
          <w:lang w:val="en-US" w:eastAsia="zh-CN" w:bidi="ar"/>
        </w:rPr>
        <w:t>个工作日内以书面形式向指导中心提出。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第十八条 </w:t>
      </w:r>
      <w:r>
        <w:rPr>
          <w:rFonts w:hint="eastAsia" w:ascii="方正仿宋_GBK" w:hAnsi="方正仿宋_GBK" w:eastAsia="方正仿宋_GBK" w:cs="方正仿宋_GBK"/>
          <w:b w:val="0"/>
          <w:bCs w:val="0"/>
          <w:color w:val="auto"/>
          <w:kern w:val="2"/>
          <w:sz w:val="32"/>
          <w:szCs w:val="32"/>
          <w:lang w:val="en-US" w:eastAsia="zh-CN" w:bidi="ar"/>
        </w:rPr>
        <w:t>指导中心每年对调解专家履行职责情况进行考核，考核结果作为续聘和评先树优的主要依据。年度考核不合格的人员，予以解除聘任。具体按照《成都东部新区人民调解专家考核办法（试行）》执行。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default"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第十九条 </w:t>
      </w:r>
      <w:r>
        <w:rPr>
          <w:rFonts w:hint="eastAsia" w:ascii="方正仿宋_GBK" w:hAnsi="方正仿宋_GBK" w:eastAsia="方正仿宋_GBK" w:cs="方正仿宋_GBK"/>
          <w:b w:val="0"/>
          <w:bCs w:val="0"/>
          <w:color w:val="auto"/>
          <w:kern w:val="2"/>
          <w:sz w:val="32"/>
          <w:szCs w:val="32"/>
          <w:lang w:val="en-US" w:eastAsia="zh-CN" w:bidi="ar"/>
        </w:rPr>
        <w:t>聘任期满后，对连续考核合格的人员予以续聘，指导中心对续聘人员重新颁发聘书。</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第二十条</w:t>
      </w:r>
      <w:r>
        <w:rPr>
          <w:rFonts w:hint="eastAsia" w:ascii="方正仿宋_GBK" w:hAnsi="方正仿宋_GBK" w:eastAsia="方正仿宋_GBK" w:cs="方正仿宋_GBK"/>
          <w:b w:val="0"/>
          <w:bCs w:val="0"/>
          <w:color w:val="auto"/>
          <w:kern w:val="2"/>
          <w:sz w:val="32"/>
          <w:szCs w:val="32"/>
          <w:lang w:val="en-US" w:eastAsia="zh-CN" w:bidi="ar"/>
        </w:rPr>
        <w:t xml:space="preserve"> 调解专家有下列情形之一的，经研究后予以解聘：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（一）侮辱当事人或偏袒一方当事人，情节严重的；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（二）无正当理由，一年内</w:t>
      </w:r>
      <w:r>
        <w:rPr>
          <w:rFonts w:hint="default" w:ascii="Times New Roman" w:hAnsi="Times New Roman" w:eastAsia="方正仿宋_GBK" w:cs="Times New Roman"/>
          <w:b w:val="0"/>
          <w:bCs w:val="0"/>
          <w:color w:val="auto"/>
          <w:kern w:val="2"/>
          <w:sz w:val="32"/>
          <w:szCs w:val="32"/>
          <w:lang w:val="en-US" w:eastAsia="zh-CN" w:bidi="ar"/>
        </w:rPr>
        <w:t>2</w:t>
      </w:r>
      <w:r>
        <w:rPr>
          <w:rFonts w:hint="eastAsia" w:ascii="方正仿宋_GBK" w:hAnsi="方正仿宋_GBK" w:eastAsia="方正仿宋_GBK" w:cs="方正仿宋_GBK"/>
          <w:b w:val="0"/>
          <w:bCs w:val="0"/>
          <w:color w:val="auto"/>
          <w:kern w:val="2"/>
          <w:sz w:val="32"/>
          <w:szCs w:val="32"/>
          <w:lang w:val="en-US" w:eastAsia="zh-CN" w:bidi="ar"/>
        </w:rPr>
        <w:t>次及以上（因病、外出等不可抗力原因除外）不接受委派工作的；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spacing w:val="6"/>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（三）</w:t>
      </w:r>
      <w:r>
        <w:rPr>
          <w:rFonts w:hint="eastAsia" w:ascii="方正仿宋_GBK" w:hAnsi="方正仿宋_GBK" w:eastAsia="方正仿宋_GBK" w:cs="方正仿宋_GBK"/>
          <w:b w:val="0"/>
          <w:bCs w:val="0"/>
          <w:color w:val="auto"/>
          <w:spacing w:val="6"/>
          <w:kern w:val="2"/>
          <w:sz w:val="32"/>
          <w:szCs w:val="32"/>
          <w:lang w:val="en-US" w:eastAsia="zh-CN" w:bidi="ar"/>
        </w:rPr>
        <w:t>因专业能力、调解能力等不能继续从事调解专家工作的；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（四）激化纠纷，造成民转刑等不良影响或后果的；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（五）以权谋私，违反职业道德，接受有关单位或个人的馈赠、宴请，以调解专家的特殊地位和影响力从事其他业务活动，为自己或所在单位谋取不正当利益的；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spacing w:val="-11"/>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（六）恶意</w:t>
      </w:r>
      <w:r>
        <w:rPr>
          <w:rFonts w:hint="eastAsia" w:ascii="方正仿宋_GBK" w:hAnsi="方正仿宋_GBK" w:eastAsia="方正仿宋_GBK" w:cs="方正仿宋_GBK"/>
          <w:b w:val="0"/>
          <w:bCs w:val="0"/>
          <w:color w:val="auto"/>
          <w:spacing w:val="-11"/>
          <w:kern w:val="2"/>
          <w:sz w:val="32"/>
          <w:szCs w:val="32"/>
          <w:lang w:val="en-US" w:eastAsia="zh-CN" w:bidi="ar"/>
        </w:rPr>
        <w:t>窜通他人，捏造事实、编造卷宗或者拆分群体性案件套领补贴的；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（七）违反法律法规或受到党纪、政务处分，不宜继续从事调解专家工作的；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（八）有失信行为或被纳入失信被执行人名单的；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default"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（九）根据本办法及相关规定，其他不再适宜担任的情况。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第二十一条 </w:t>
      </w:r>
      <w:r>
        <w:rPr>
          <w:rFonts w:hint="eastAsia" w:ascii="方正仿宋_GBK" w:hAnsi="方正仿宋_GBK" w:eastAsia="方正仿宋_GBK" w:cs="方正仿宋_GBK"/>
          <w:b w:val="0"/>
          <w:bCs w:val="0"/>
          <w:color w:val="auto"/>
          <w:kern w:val="2"/>
          <w:sz w:val="32"/>
          <w:szCs w:val="32"/>
          <w:lang w:val="en-US" w:eastAsia="zh-CN" w:bidi="ar"/>
        </w:rPr>
        <w:t>指导中心予以解聘的，收回调解专家聘书，单位推荐加入专家库的，通报其所在单位。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方正黑体_GBK" w:hAnsi="方正黑体_GBK" w:eastAsia="方正黑体_GBK" w:cs="方正黑体_GBK"/>
          <w:b w:val="0"/>
          <w:bCs w:val="0"/>
          <w:color w:val="auto"/>
          <w:kern w:val="2"/>
          <w:sz w:val="32"/>
          <w:szCs w:val="32"/>
          <w:lang w:val="en-US" w:eastAsia="zh-CN" w:bidi="ar"/>
        </w:rPr>
      </w:pPr>
      <w:r>
        <w:rPr>
          <w:rFonts w:hint="eastAsia" w:ascii="方正黑体_GBK" w:hAnsi="方正黑体_GBK" w:eastAsia="方正黑体_GBK" w:cs="方正黑体_GBK"/>
          <w:b w:val="0"/>
          <w:bCs w:val="0"/>
          <w:color w:val="auto"/>
          <w:kern w:val="2"/>
          <w:sz w:val="32"/>
          <w:szCs w:val="32"/>
          <w:lang w:val="en-US" w:eastAsia="zh-CN" w:bidi="ar"/>
        </w:rPr>
        <w:t>第五章 调解专家的申请和指派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第二十二条 </w:t>
      </w:r>
      <w:r>
        <w:rPr>
          <w:rFonts w:hint="eastAsia" w:ascii="方正仿宋_GBK" w:hAnsi="方正仿宋_GBK" w:eastAsia="方正仿宋_GBK" w:cs="方正仿宋_GBK"/>
          <w:b w:val="0"/>
          <w:bCs w:val="0"/>
          <w:color w:val="auto"/>
          <w:kern w:val="2"/>
          <w:sz w:val="32"/>
          <w:szCs w:val="32"/>
          <w:lang w:val="en-US" w:eastAsia="zh-CN" w:bidi="ar"/>
        </w:rPr>
        <w:t>当事人提出人民调解申请的，指导中心应当根据案件情况协调镇（街道）、行业性、专业性人民调解组织受理调处。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第二十三条 </w:t>
      </w:r>
      <w:r>
        <w:rPr>
          <w:rFonts w:hint="eastAsia" w:ascii="方正仿宋_GBK" w:hAnsi="方正仿宋_GBK" w:eastAsia="方正仿宋_GBK" w:cs="方正仿宋_GBK"/>
          <w:b w:val="0"/>
          <w:bCs w:val="0"/>
          <w:color w:val="auto"/>
          <w:kern w:val="2"/>
          <w:sz w:val="32"/>
          <w:szCs w:val="32"/>
          <w:lang w:val="en-US" w:eastAsia="zh-CN" w:bidi="ar"/>
        </w:rPr>
        <w:t>镇（街道）、行业性、专业性人民调解组织受理的疑难或者特别重大疑难纠纷，视调解需要可以向指导中心申请指派调解专家。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default"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第二十四条 </w:t>
      </w:r>
      <w:r>
        <w:rPr>
          <w:rFonts w:hint="eastAsia" w:ascii="方正仿宋_GBK" w:hAnsi="方正仿宋_GBK" w:eastAsia="方正仿宋_GBK" w:cs="方正仿宋_GBK"/>
          <w:b w:val="0"/>
          <w:bCs w:val="0"/>
          <w:color w:val="auto"/>
          <w:kern w:val="2"/>
          <w:sz w:val="32"/>
          <w:szCs w:val="32"/>
          <w:lang w:val="en-US" w:eastAsia="zh-CN" w:bidi="ar"/>
        </w:rPr>
        <w:t>镇（街道）、行业性、专业性人民调解组织</w:t>
      </w:r>
      <w:r>
        <w:rPr>
          <w:rFonts w:hint="eastAsia" w:ascii="Times New Roman" w:hAnsi="Times New Roman" w:eastAsia="方正仿宋_GBK" w:cs="Times New Roman"/>
          <w:b w:val="0"/>
          <w:bCs w:val="0"/>
          <w:color w:val="auto"/>
          <w:kern w:val="2"/>
          <w:sz w:val="32"/>
          <w:szCs w:val="32"/>
          <w:lang w:val="en-US" w:eastAsia="zh-CN" w:bidi="ar"/>
        </w:rPr>
        <w:t>向指导中心申请指派调解专家开展矛盾纠纷调处的，应当向指导中心递交《成都东部新区人民调解专家指派申请表》，并明确一名</w:t>
      </w:r>
      <w:r>
        <w:rPr>
          <w:rFonts w:hint="eastAsia" w:ascii="方正仿宋_GBK" w:hAnsi="方正仿宋_GBK" w:eastAsia="方正仿宋_GBK" w:cs="方正仿宋_GBK"/>
          <w:b w:val="0"/>
          <w:bCs w:val="0"/>
          <w:color w:val="auto"/>
          <w:spacing w:val="11"/>
          <w:kern w:val="2"/>
          <w:sz w:val="32"/>
          <w:szCs w:val="32"/>
          <w:lang w:val="en-US" w:eastAsia="zh-CN" w:bidi="ar"/>
        </w:rPr>
        <w:t>联络员，负责协调联络工作。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第二十五条 </w:t>
      </w:r>
      <w:r>
        <w:rPr>
          <w:rFonts w:hint="eastAsia" w:ascii="方正仿宋_GBK" w:hAnsi="方正仿宋_GBK" w:eastAsia="方正仿宋_GBK" w:cs="方正仿宋_GBK"/>
          <w:b w:val="0"/>
          <w:bCs w:val="0"/>
          <w:color w:val="auto"/>
          <w:kern w:val="2"/>
          <w:sz w:val="32"/>
          <w:szCs w:val="32"/>
          <w:lang w:val="en-US" w:eastAsia="zh-CN" w:bidi="ar"/>
        </w:rPr>
        <w:t>指导中心收到调解专家指派申请后，对于符合条件的，应当视纠纷情况自受理申请之日起</w:t>
      </w:r>
      <w:r>
        <w:rPr>
          <w:rFonts w:hint="eastAsia" w:ascii="Times New Roman" w:hAnsi="Times New Roman" w:eastAsia="方正仿宋_GBK" w:cs="Times New Roman"/>
          <w:b w:val="0"/>
          <w:bCs w:val="0"/>
          <w:color w:val="auto"/>
          <w:kern w:val="2"/>
          <w:sz w:val="32"/>
          <w:szCs w:val="32"/>
          <w:lang w:val="en-US" w:eastAsia="zh-CN" w:bidi="ar"/>
        </w:rPr>
        <w:t>3个工作日内</w:t>
      </w:r>
      <w:r>
        <w:rPr>
          <w:rFonts w:hint="eastAsia" w:ascii="方正仿宋_GBK" w:hAnsi="方正仿宋_GBK" w:eastAsia="方正仿宋_GBK" w:cs="方正仿宋_GBK"/>
          <w:b w:val="0"/>
          <w:bCs w:val="0"/>
          <w:color w:val="auto"/>
          <w:kern w:val="2"/>
          <w:sz w:val="32"/>
          <w:szCs w:val="32"/>
          <w:lang w:val="en-US" w:eastAsia="zh-CN" w:bidi="ar"/>
        </w:rPr>
        <w:t>指派</w:t>
      </w:r>
      <w:r>
        <w:rPr>
          <w:rFonts w:hint="eastAsia" w:ascii="方正仿宋_GBK" w:hAnsi="方正仿宋_GBK" w:eastAsia="方正仿宋_GBK" w:cs="方正仿宋_GBK"/>
          <w:b w:val="0"/>
          <w:bCs w:val="0"/>
          <w:color w:val="auto"/>
          <w:kern w:val="2"/>
          <w:sz w:val="32"/>
          <w:szCs w:val="32"/>
          <w:highlight w:val="none"/>
          <w:lang w:val="en-US" w:eastAsia="zh-CN" w:bidi="ar"/>
        </w:rPr>
        <w:t>一</w:t>
      </w:r>
      <w:r>
        <w:rPr>
          <w:rFonts w:hint="eastAsia" w:ascii="Times New Roman" w:hAnsi="Times New Roman" w:eastAsia="方正仿宋_GBK" w:cs="Times New Roman"/>
          <w:b w:val="0"/>
          <w:bCs w:val="0"/>
          <w:color w:val="auto"/>
          <w:kern w:val="2"/>
          <w:sz w:val="32"/>
          <w:szCs w:val="32"/>
          <w:highlight w:val="none"/>
          <w:lang w:val="en-US" w:eastAsia="zh-CN" w:bidi="ar"/>
        </w:rPr>
        <w:t>名或者数</w:t>
      </w:r>
      <w:r>
        <w:rPr>
          <w:rFonts w:hint="eastAsia" w:ascii="方正仿宋_GBK" w:hAnsi="方正仿宋_GBK" w:eastAsia="方正仿宋_GBK" w:cs="方正仿宋_GBK"/>
          <w:b w:val="0"/>
          <w:bCs w:val="0"/>
          <w:color w:val="auto"/>
          <w:kern w:val="2"/>
          <w:sz w:val="32"/>
          <w:szCs w:val="32"/>
          <w:highlight w:val="none"/>
          <w:lang w:val="en-US" w:eastAsia="zh-CN" w:bidi="ar"/>
        </w:rPr>
        <w:t>名调解专家调解案件，</w:t>
      </w:r>
      <w:r>
        <w:rPr>
          <w:rFonts w:hint="eastAsia" w:ascii="方正仿宋_GBK" w:hAnsi="方正仿宋_GBK" w:eastAsia="方正仿宋_GBK" w:cs="方正仿宋_GBK"/>
          <w:b w:val="0"/>
          <w:bCs w:val="0"/>
          <w:color w:val="auto"/>
          <w:kern w:val="2"/>
          <w:sz w:val="32"/>
          <w:szCs w:val="32"/>
          <w:lang w:val="en-US" w:eastAsia="zh-CN" w:bidi="ar"/>
        </w:rPr>
        <w:t>并向接受指派的调解专家、承办调解组织发出《成都东部新区人民调解专家指派通知书》。因调解专家变更的，完成指派工作最多不超过</w:t>
      </w:r>
      <w:r>
        <w:rPr>
          <w:rFonts w:hint="eastAsia" w:ascii="Times New Roman" w:hAnsi="Times New Roman" w:eastAsia="方正仿宋_GBK" w:cs="Times New Roman"/>
          <w:b w:val="0"/>
          <w:bCs w:val="0"/>
          <w:color w:val="auto"/>
          <w:kern w:val="2"/>
          <w:sz w:val="32"/>
          <w:szCs w:val="32"/>
          <w:lang w:val="en-US" w:eastAsia="zh-CN" w:bidi="ar"/>
        </w:rPr>
        <w:t>5</w:t>
      </w:r>
      <w:r>
        <w:rPr>
          <w:rFonts w:hint="eastAsia" w:ascii="方正仿宋_GBK" w:hAnsi="方正仿宋_GBK" w:eastAsia="方正仿宋_GBK" w:cs="方正仿宋_GBK"/>
          <w:b w:val="0"/>
          <w:bCs w:val="0"/>
          <w:color w:val="auto"/>
          <w:kern w:val="2"/>
          <w:sz w:val="32"/>
          <w:szCs w:val="32"/>
          <w:lang w:val="en-US" w:eastAsia="zh-CN" w:bidi="ar"/>
        </w:rPr>
        <w:t>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对案情复杂、专业性较强的案件，指导中心可以与承办调解组织、调解专家协商后完成指派。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default"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第二十六条 </w:t>
      </w:r>
      <w:r>
        <w:rPr>
          <w:rFonts w:hint="eastAsia" w:ascii="方正仿宋_GBK" w:hAnsi="方正仿宋_GBK" w:eastAsia="方正仿宋_GBK" w:cs="方正仿宋_GBK"/>
          <w:b w:val="0"/>
          <w:bCs w:val="0"/>
          <w:color w:val="auto"/>
          <w:kern w:val="2"/>
          <w:sz w:val="32"/>
          <w:szCs w:val="32"/>
          <w:lang w:val="en-US" w:eastAsia="zh-CN" w:bidi="ar"/>
        </w:rPr>
        <w:t>承办调解组织应当自调解结束之日起</w:t>
      </w:r>
      <w:r>
        <w:rPr>
          <w:rFonts w:hint="eastAsia" w:ascii="Times New Roman" w:hAnsi="Times New Roman" w:eastAsia="方正仿宋_GBK" w:cs="Times New Roman"/>
          <w:b w:val="0"/>
          <w:bCs w:val="0"/>
          <w:color w:val="auto"/>
          <w:kern w:val="2"/>
          <w:sz w:val="32"/>
          <w:szCs w:val="32"/>
          <w:lang w:val="en-US" w:eastAsia="zh-CN" w:bidi="ar"/>
        </w:rPr>
        <w:t>10</w:t>
      </w:r>
      <w:r>
        <w:rPr>
          <w:rFonts w:hint="eastAsia" w:ascii="方正仿宋_GBK" w:hAnsi="方正仿宋_GBK" w:eastAsia="方正仿宋_GBK" w:cs="方正仿宋_GBK"/>
          <w:b w:val="0"/>
          <w:bCs w:val="0"/>
          <w:color w:val="auto"/>
          <w:kern w:val="2"/>
          <w:sz w:val="32"/>
          <w:szCs w:val="32"/>
          <w:lang w:val="en-US" w:eastAsia="zh-CN" w:bidi="ar"/>
        </w:rPr>
        <w:t>个工作日内向指导中心报送《</w:t>
      </w:r>
      <w:r>
        <w:rPr>
          <w:rFonts w:hint="eastAsia" w:ascii="Times New Roman" w:hAnsi="Times New Roman" w:eastAsia="方正仿宋_GBK" w:cs="Times New Roman"/>
          <w:b w:val="0"/>
          <w:bCs w:val="0"/>
          <w:color w:val="auto"/>
          <w:kern w:val="2"/>
          <w:sz w:val="32"/>
          <w:szCs w:val="32"/>
          <w:lang w:val="en-US" w:eastAsia="zh-CN" w:bidi="ar"/>
        </w:rPr>
        <w:t>XX</w:t>
      </w:r>
      <w:r>
        <w:rPr>
          <w:rFonts w:hint="eastAsia" w:ascii="方正仿宋_GBK" w:hAnsi="方正仿宋_GBK" w:eastAsia="方正仿宋_GBK" w:cs="方正仿宋_GBK"/>
          <w:b w:val="0"/>
          <w:bCs w:val="0"/>
          <w:color w:val="auto"/>
          <w:kern w:val="2"/>
          <w:sz w:val="32"/>
          <w:szCs w:val="32"/>
          <w:lang w:val="en-US" w:eastAsia="zh-CN" w:bidi="ar"/>
        </w:rPr>
        <w:t>案件调解结果反馈表》。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方正黑体_GBK" w:hAnsi="方正黑体_GBK" w:eastAsia="方正黑体_GBK" w:cs="方正黑体_GBK"/>
          <w:b w:val="0"/>
          <w:bCs w:val="0"/>
          <w:color w:val="auto"/>
          <w:kern w:val="2"/>
          <w:sz w:val="32"/>
          <w:szCs w:val="32"/>
          <w:lang w:val="en-US" w:eastAsia="zh-CN" w:bidi="ar"/>
        </w:rPr>
      </w:pPr>
      <w:r>
        <w:rPr>
          <w:rFonts w:hint="eastAsia" w:ascii="方正黑体_GBK" w:hAnsi="方正黑体_GBK" w:eastAsia="方正黑体_GBK" w:cs="方正黑体_GBK"/>
          <w:b w:val="0"/>
          <w:bCs w:val="0"/>
          <w:color w:val="auto"/>
          <w:kern w:val="2"/>
          <w:sz w:val="32"/>
          <w:szCs w:val="32"/>
          <w:lang w:val="en-US" w:eastAsia="zh-CN" w:bidi="ar"/>
        </w:rPr>
        <w:t>第六章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default" w:ascii="方正仿宋_GBK" w:hAnsi="方正仿宋_GBK" w:eastAsia="方正仿宋_GBK" w:cs="方正仿宋_GBK"/>
          <w:b/>
          <w:bCs/>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第二十七条</w:t>
      </w:r>
      <w:r>
        <w:rPr>
          <w:rFonts w:hint="eastAsia" w:ascii="方正仿宋_GBK" w:hAnsi="方正仿宋_GBK" w:eastAsia="方正仿宋_GBK" w:cs="方正仿宋_GBK"/>
          <w:b w:val="0"/>
          <w:bCs w:val="0"/>
          <w:color w:val="auto"/>
          <w:kern w:val="2"/>
          <w:sz w:val="32"/>
          <w:szCs w:val="32"/>
          <w:lang w:val="en-US" w:eastAsia="zh-CN" w:bidi="ar"/>
        </w:rPr>
        <w:t xml:space="preserve"> 本办法由成都东部新区应急安全管理局负责解释。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bCs/>
          <w:color w:val="auto"/>
          <w:kern w:val="2"/>
          <w:sz w:val="32"/>
          <w:szCs w:val="32"/>
          <w:lang w:val="en-US" w:eastAsia="zh-CN" w:bidi="ar"/>
        </w:rPr>
        <w:t xml:space="preserve">第二十八条 </w:t>
      </w:r>
      <w:r>
        <w:rPr>
          <w:rFonts w:hint="eastAsia" w:ascii="方正仿宋_GBK" w:hAnsi="方正仿宋_GBK" w:eastAsia="方正仿宋_GBK" w:cs="方正仿宋_GBK"/>
          <w:b w:val="0"/>
          <w:bCs w:val="0"/>
          <w:color w:val="auto"/>
          <w:kern w:val="2"/>
          <w:sz w:val="32"/>
          <w:szCs w:val="32"/>
          <w:lang w:val="en-US" w:eastAsia="zh-CN" w:bidi="ar"/>
        </w:rPr>
        <w:t>本办法自</w:t>
      </w:r>
      <w:r>
        <w:rPr>
          <w:rFonts w:hint="eastAsia" w:ascii="Times New Roman" w:hAnsi="Times New Roman" w:eastAsia="方正仿宋_GBK" w:cs="Times New Roman"/>
          <w:b w:val="0"/>
          <w:bCs w:val="0"/>
          <w:color w:val="auto"/>
          <w:kern w:val="2"/>
          <w:sz w:val="32"/>
          <w:szCs w:val="32"/>
          <w:lang w:val="en-US" w:eastAsia="zh-CN" w:bidi="ar"/>
        </w:rPr>
        <w:t>2024</w:t>
      </w:r>
      <w:r>
        <w:rPr>
          <w:rFonts w:hint="eastAsia" w:ascii="方正仿宋_GBK" w:hAnsi="方正仿宋_GBK" w:eastAsia="方正仿宋_GBK" w:cs="方正仿宋_GBK"/>
          <w:b w:val="0"/>
          <w:bCs w:val="0"/>
          <w:color w:val="auto"/>
          <w:kern w:val="2"/>
          <w:sz w:val="32"/>
          <w:szCs w:val="32"/>
          <w:lang w:val="en-US" w:eastAsia="zh-CN" w:bidi="ar"/>
        </w:rPr>
        <w:t>年</w:t>
      </w:r>
      <w:r>
        <w:rPr>
          <w:rFonts w:hint="eastAsia" w:ascii="Times New Roman" w:hAnsi="Times New Roman" w:eastAsia="方正仿宋_GBK" w:cs="Times New Roman"/>
          <w:b w:val="0"/>
          <w:bCs w:val="0"/>
          <w:color w:val="auto"/>
          <w:kern w:val="2"/>
          <w:sz w:val="32"/>
          <w:szCs w:val="32"/>
          <w:lang w:val="en-US" w:eastAsia="zh-CN" w:bidi="ar"/>
        </w:rPr>
        <w:t>4月29日</w:t>
      </w:r>
      <w:r>
        <w:rPr>
          <w:rFonts w:hint="eastAsia" w:ascii="方正仿宋_GBK" w:hAnsi="方正仿宋_GBK" w:eastAsia="方正仿宋_GBK" w:cs="方正仿宋_GBK"/>
          <w:b w:val="0"/>
          <w:bCs w:val="0"/>
          <w:color w:val="auto"/>
          <w:kern w:val="2"/>
          <w:sz w:val="32"/>
          <w:szCs w:val="32"/>
          <w:lang w:val="en-US" w:eastAsia="zh-CN" w:bidi="ar"/>
        </w:rPr>
        <w:t>起施行。</w:t>
      </w:r>
    </w:p>
    <w:p>
      <w:pPr>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br w:type="page"/>
      </w:r>
      <w:bookmarkStart w:id="0" w:name="_GoBack"/>
      <w:bookmarkEnd w:id="0"/>
    </w:p>
    <w:p>
      <w:pPr>
        <w:jc w:val="left"/>
        <w:rPr>
          <w:rFonts w:hint="eastAsia" w:ascii="方正小标宋_GBK" w:hAnsi="方正小标宋_GBK" w:eastAsia="方正小标宋_GBK" w:cs="方正小标宋_GBK"/>
          <w:sz w:val="44"/>
          <w:szCs w:val="44"/>
          <w:lang w:val="en-US" w:eastAsia="zh-CN"/>
        </w:rPr>
      </w:pPr>
      <w:r>
        <w:rPr>
          <w:rFonts w:hint="eastAsia" w:ascii="方正黑体_GBK" w:hAnsi="方正黑体_GBK" w:eastAsia="方正黑体_GBK" w:cs="方正黑体_GBK"/>
          <w:i w:val="0"/>
          <w:iCs w:val="0"/>
          <w:caps w:val="0"/>
          <w:color w:val="000000" w:themeColor="text1"/>
          <w:spacing w:val="0"/>
          <w:kern w:val="0"/>
          <w:sz w:val="32"/>
          <w:szCs w:val="32"/>
          <w:lang w:val="en-US" w:eastAsia="zh-CN" w:bidi="ar"/>
          <w14:textFill>
            <w14:solidFill>
              <w14:schemeClr w14:val="tx1"/>
            </w14:solidFill>
          </w14:textFill>
        </w:rPr>
        <w:t>附件</w:t>
      </w:r>
      <w:r>
        <w:rPr>
          <w:rFonts w:hint="default" w:ascii="Times New Roman" w:hAnsi="Times New Roman" w:eastAsia="方正黑体_GBK" w:cs="Times New Roman"/>
          <w:i w:val="0"/>
          <w:iCs w:val="0"/>
          <w:caps w:val="0"/>
          <w:color w:val="000000" w:themeColor="text1"/>
          <w:spacing w:val="0"/>
          <w:kern w:val="0"/>
          <w:sz w:val="32"/>
          <w:szCs w:val="32"/>
          <w:lang w:val="en-US" w:eastAsia="zh-CN" w:bidi="ar"/>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成都东部新区人民调解专家指派申请</w:t>
      </w:r>
      <w:r>
        <w:rPr>
          <w:rFonts w:hint="eastAsia" w:ascii="方正小标宋_GBK" w:hAnsi="方正小标宋_GBK" w:eastAsia="方正小标宋_GBK" w:cs="方正小标宋_GBK"/>
          <w:sz w:val="44"/>
          <w:szCs w:val="44"/>
        </w:rPr>
        <w:t>表</w:t>
      </w:r>
    </w:p>
    <w:p>
      <w:pPr>
        <w:jc w:val="center"/>
        <w:rPr>
          <w:rFonts w:hint="eastAsia" w:ascii="方正仿宋_GBK" w:hAnsi="方正仿宋_GBK" w:eastAsia="方正仿宋_GBK" w:cs="方正仿宋_GBK"/>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4125"/>
        <w:gridCol w:w="1688"/>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top"/>
          </w:tcPr>
          <w:p>
            <w:pPr>
              <w:widowControl/>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申请单位</w:t>
            </w:r>
          </w:p>
        </w:tc>
        <w:tc>
          <w:tcPr>
            <w:tcW w:w="4125" w:type="dxa"/>
            <w:vAlign w:val="top"/>
          </w:tcPr>
          <w:p>
            <w:pPr>
              <w:widowControl/>
              <w:jc w:val="center"/>
              <w:rPr>
                <w:rFonts w:hint="eastAsia" w:ascii="方正仿宋_GBK" w:hAnsi="方正仿宋_GBK" w:eastAsia="方正仿宋_GBK" w:cs="方正仿宋_GBK"/>
                <w:kern w:val="0"/>
                <w:sz w:val="28"/>
                <w:szCs w:val="28"/>
                <w:lang w:val="en-US" w:eastAsia="zh-CN"/>
              </w:rPr>
            </w:pPr>
          </w:p>
        </w:tc>
        <w:tc>
          <w:tcPr>
            <w:tcW w:w="1688" w:type="dxa"/>
            <w:vAlign w:val="top"/>
          </w:tcPr>
          <w:p>
            <w:pPr>
              <w:widowControl/>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申请时间</w:t>
            </w:r>
          </w:p>
        </w:tc>
        <w:tc>
          <w:tcPr>
            <w:tcW w:w="1780" w:type="dxa"/>
            <w:vAlign w:val="top"/>
          </w:tcPr>
          <w:p>
            <w:pPr>
              <w:widowControl/>
              <w:jc w:val="center"/>
              <w:rPr>
                <w:rFonts w:hint="eastAsia" w:ascii="方正仿宋_GBK" w:hAnsi="方正仿宋_GBK" w:eastAsia="方正仿宋_GBK" w:cs="方正仿宋_GBK"/>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top"/>
          </w:tcPr>
          <w:p>
            <w:pPr>
              <w:widowControl/>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联络员</w:t>
            </w:r>
          </w:p>
        </w:tc>
        <w:tc>
          <w:tcPr>
            <w:tcW w:w="4125" w:type="dxa"/>
            <w:vAlign w:val="top"/>
          </w:tcPr>
          <w:p>
            <w:pPr>
              <w:widowControl/>
              <w:jc w:val="center"/>
              <w:rPr>
                <w:rFonts w:hint="eastAsia" w:ascii="方正仿宋_GBK" w:hAnsi="方正仿宋_GBK" w:eastAsia="方正仿宋_GBK" w:cs="方正仿宋_GBK"/>
                <w:kern w:val="0"/>
                <w:sz w:val="28"/>
                <w:szCs w:val="28"/>
                <w:lang w:val="en-US" w:eastAsia="zh-CN"/>
              </w:rPr>
            </w:pPr>
          </w:p>
        </w:tc>
        <w:tc>
          <w:tcPr>
            <w:tcW w:w="1688" w:type="dxa"/>
            <w:vAlign w:val="top"/>
          </w:tcPr>
          <w:p>
            <w:pPr>
              <w:widowControl/>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联系电话</w:t>
            </w:r>
          </w:p>
        </w:tc>
        <w:tc>
          <w:tcPr>
            <w:tcW w:w="1780" w:type="dxa"/>
            <w:vAlign w:val="top"/>
          </w:tcPr>
          <w:p>
            <w:pPr>
              <w:widowControl/>
              <w:jc w:val="center"/>
              <w:rPr>
                <w:rFonts w:hint="eastAsia" w:ascii="方正仿宋_GBK" w:hAnsi="方正仿宋_GBK" w:eastAsia="方正仿宋_GBK" w:cs="方正仿宋_GBK"/>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top"/>
          </w:tcPr>
          <w:p>
            <w:pPr>
              <w:widowControl/>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sz w:val="28"/>
                <w:szCs w:val="28"/>
                <w:lang w:val="en-US" w:eastAsia="zh-CN"/>
              </w:rPr>
              <w:t>当事人</w:t>
            </w:r>
          </w:p>
        </w:tc>
        <w:tc>
          <w:tcPr>
            <w:tcW w:w="7593" w:type="dxa"/>
            <w:gridSpan w:val="3"/>
            <w:vAlign w:val="top"/>
          </w:tcPr>
          <w:p>
            <w:pPr>
              <w:widowControl/>
              <w:jc w:val="center"/>
              <w:rPr>
                <w:rFonts w:hint="eastAsia" w:ascii="方正仿宋_GBK" w:hAnsi="方正仿宋_GBK" w:eastAsia="方正仿宋_GBK" w:cs="方正仿宋_GBK"/>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top"/>
          </w:tcPr>
          <w:p>
            <w:pPr>
              <w:widowControl/>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当事人</w:t>
            </w:r>
          </w:p>
        </w:tc>
        <w:tc>
          <w:tcPr>
            <w:tcW w:w="7593" w:type="dxa"/>
            <w:gridSpan w:val="3"/>
            <w:vAlign w:val="top"/>
          </w:tcPr>
          <w:p>
            <w:pPr>
              <w:widowControl/>
              <w:jc w:val="center"/>
              <w:rPr>
                <w:rFonts w:hint="eastAsia" w:ascii="方正仿宋_GBK" w:hAnsi="方正仿宋_GBK" w:eastAsia="方正仿宋_GBK" w:cs="方正仿宋_GBK"/>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top"/>
          </w:tcPr>
          <w:p>
            <w:pPr>
              <w:widowControl/>
              <w:jc w:val="center"/>
              <w:rPr>
                <w:rFonts w:hint="default"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sz w:val="28"/>
                <w:szCs w:val="28"/>
                <w:lang w:val="en-US" w:eastAsia="zh-CN"/>
              </w:rPr>
              <w:t>纠纷类型</w:t>
            </w:r>
          </w:p>
        </w:tc>
        <w:tc>
          <w:tcPr>
            <w:tcW w:w="7593" w:type="dxa"/>
            <w:gridSpan w:val="3"/>
            <w:vAlign w:val="top"/>
          </w:tcPr>
          <w:p>
            <w:pPr>
              <w:widowControl/>
              <w:jc w:val="both"/>
              <w:rPr>
                <w:rFonts w:hint="eastAsia" w:ascii="方正仿宋_GBK" w:hAnsi="方正仿宋_GBK" w:eastAsia="方正仿宋_GBK" w:cs="方正仿宋_GBK"/>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3" w:hRule="atLeast"/>
        </w:trPr>
        <w:tc>
          <w:tcPr>
            <w:tcW w:w="1468" w:type="dxa"/>
            <w:vAlign w:val="top"/>
          </w:tcPr>
          <w:p>
            <w:pPr>
              <w:widowControl/>
              <w:jc w:val="center"/>
              <w:rPr>
                <w:rFonts w:hint="default" w:ascii="方正仿宋_GBK" w:hAnsi="方正仿宋_GBK" w:eastAsia="方正仿宋_GBK" w:cs="方正仿宋_GBK"/>
                <w:kern w:val="0"/>
                <w:sz w:val="28"/>
                <w:szCs w:val="28"/>
                <w:lang w:val="en-US" w:eastAsia="zh-CN"/>
              </w:rPr>
            </w:pPr>
          </w:p>
          <w:p>
            <w:pPr>
              <w:widowControl/>
              <w:jc w:val="center"/>
              <w:rPr>
                <w:rFonts w:hint="default" w:ascii="方正仿宋_GBK" w:hAnsi="方正仿宋_GBK" w:eastAsia="方正仿宋_GBK" w:cs="方正仿宋_GBK"/>
                <w:kern w:val="0"/>
                <w:sz w:val="28"/>
                <w:szCs w:val="28"/>
                <w:lang w:val="en-US" w:eastAsia="zh-CN"/>
              </w:rPr>
            </w:pPr>
          </w:p>
          <w:p>
            <w:pPr>
              <w:widowControl/>
              <w:jc w:val="both"/>
              <w:rPr>
                <w:rFonts w:hint="default" w:ascii="方正仿宋_GBK" w:hAnsi="方正仿宋_GBK" w:eastAsia="方正仿宋_GBK" w:cs="方正仿宋_GBK"/>
                <w:kern w:val="0"/>
                <w:sz w:val="28"/>
                <w:szCs w:val="28"/>
                <w:lang w:val="en-US" w:eastAsia="zh-CN"/>
              </w:rPr>
            </w:pPr>
            <w:r>
              <w:rPr>
                <w:rFonts w:hint="default" w:ascii="方正仿宋_GBK" w:hAnsi="方正仿宋_GBK" w:eastAsia="方正仿宋_GBK" w:cs="方正仿宋_GBK"/>
                <w:kern w:val="0"/>
                <w:sz w:val="28"/>
                <w:szCs w:val="28"/>
                <w:lang w:val="en-US" w:eastAsia="zh-CN"/>
              </w:rPr>
              <w:t>矛盾纠纷简要情况</w:t>
            </w:r>
            <w:r>
              <w:rPr>
                <w:rFonts w:hint="eastAsia" w:ascii="方正仿宋_GBK" w:hAnsi="方正仿宋_GBK" w:eastAsia="方正仿宋_GBK" w:cs="方正仿宋_GBK"/>
                <w:kern w:val="0"/>
                <w:sz w:val="28"/>
                <w:szCs w:val="28"/>
                <w:lang w:val="en-US" w:eastAsia="zh-CN"/>
              </w:rPr>
              <w:t>（如有案件材料请一并附上）</w:t>
            </w:r>
          </w:p>
        </w:tc>
        <w:tc>
          <w:tcPr>
            <w:tcW w:w="7593" w:type="dxa"/>
            <w:gridSpan w:val="3"/>
            <w:vAlign w:val="top"/>
          </w:tcPr>
          <w:p>
            <w:pPr>
              <w:widowControl/>
              <w:jc w:val="center"/>
              <w:rPr>
                <w:rFonts w:hint="eastAsia" w:ascii="方正仿宋_GBK" w:hAnsi="方正仿宋_GBK" w:eastAsia="方正仿宋_GBK" w:cs="方正仿宋_GBK"/>
                <w:kern w:val="0"/>
                <w:sz w:val="28"/>
                <w:szCs w:val="28"/>
                <w:lang w:val="en-US" w:eastAsia="zh-CN"/>
              </w:rPr>
            </w:pPr>
          </w:p>
          <w:p>
            <w:pPr>
              <w:widowControl/>
              <w:jc w:val="center"/>
              <w:rPr>
                <w:rFonts w:hint="eastAsia" w:ascii="方正仿宋_GBK" w:hAnsi="方正仿宋_GBK" w:eastAsia="方正仿宋_GBK" w:cs="方正仿宋_GBK"/>
                <w:kern w:val="0"/>
                <w:sz w:val="28"/>
                <w:szCs w:val="28"/>
                <w:lang w:val="en-US" w:eastAsia="zh-CN"/>
              </w:rPr>
            </w:pPr>
          </w:p>
          <w:p>
            <w:pPr>
              <w:widowControl/>
              <w:jc w:val="center"/>
              <w:rPr>
                <w:rFonts w:hint="eastAsia" w:ascii="方正仿宋_GBK" w:hAnsi="方正仿宋_GBK" w:eastAsia="方正仿宋_GBK" w:cs="方正仿宋_GBK"/>
                <w:kern w:val="0"/>
                <w:sz w:val="28"/>
                <w:szCs w:val="28"/>
                <w:lang w:val="en-US" w:eastAsia="zh-CN"/>
              </w:rPr>
            </w:pPr>
          </w:p>
          <w:p>
            <w:pPr>
              <w:widowControl/>
              <w:jc w:val="center"/>
              <w:rPr>
                <w:rFonts w:hint="eastAsia" w:ascii="方正仿宋_GBK" w:hAnsi="方正仿宋_GBK" w:eastAsia="方正仿宋_GBK" w:cs="方正仿宋_GBK"/>
                <w:b w:val="0"/>
                <w:bCs w:val="0"/>
                <w:kern w:val="0"/>
                <w:sz w:val="28"/>
                <w:szCs w:val="28"/>
                <w:lang w:val="en-US" w:eastAsia="zh-CN"/>
              </w:rPr>
            </w:pPr>
          </w:p>
          <w:p>
            <w:pPr>
              <w:widowControl/>
              <w:jc w:val="center"/>
              <w:rPr>
                <w:rFonts w:hint="eastAsia" w:ascii="方正仿宋_GBK" w:hAnsi="方正仿宋_GBK" w:eastAsia="方正仿宋_GBK" w:cs="方正仿宋_GBK"/>
                <w:b w:val="0"/>
                <w:bCs w:val="0"/>
                <w:kern w:val="0"/>
                <w:sz w:val="28"/>
                <w:szCs w:val="28"/>
                <w:lang w:val="en-US" w:eastAsia="zh-CN"/>
              </w:rPr>
            </w:pPr>
          </w:p>
          <w:p>
            <w:pPr>
              <w:widowControl/>
              <w:jc w:val="center"/>
              <w:rPr>
                <w:rFonts w:hint="eastAsia" w:ascii="方正仿宋_GBK" w:hAnsi="方正仿宋_GBK" w:eastAsia="方正仿宋_GBK" w:cs="方正仿宋_GBK"/>
                <w:b w:val="0"/>
                <w:bCs w:val="0"/>
                <w:kern w:val="0"/>
                <w:sz w:val="28"/>
                <w:szCs w:val="28"/>
                <w:lang w:val="en-US" w:eastAsia="zh-CN"/>
              </w:rPr>
            </w:pPr>
          </w:p>
          <w:p>
            <w:pPr>
              <w:widowControl/>
              <w:jc w:val="center"/>
              <w:rPr>
                <w:rFonts w:hint="eastAsia" w:ascii="方正仿宋_GBK" w:hAnsi="方正仿宋_GBK" w:eastAsia="方正仿宋_GBK" w:cs="方正仿宋_GBK"/>
                <w:b w:val="0"/>
                <w:bCs w:val="0"/>
                <w:kern w:val="0"/>
                <w:sz w:val="28"/>
                <w:szCs w:val="28"/>
                <w:lang w:val="en-US" w:eastAsia="zh-CN"/>
              </w:rPr>
            </w:pPr>
          </w:p>
          <w:p>
            <w:pPr>
              <w:widowControl/>
              <w:jc w:val="both"/>
              <w:rPr>
                <w:rFonts w:hint="eastAsia" w:ascii="方正仿宋_GBK" w:hAnsi="方正仿宋_GBK" w:eastAsia="方正仿宋_GBK" w:cs="方正仿宋_GBK"/>
                <w:b w:val="0"/>
                <w:bCs w:val="0"/>
                <w:kern w:val="0"/>
                <w:sz w:val="28"/>
                <w:szCs w:val="28"/>
                <w:lang w:eastAsia="zh-CN"/>
              </w:rPr>
            </w:pPr>
          </w:p>
          <w:p>
            <w:pPr>
              <w:widowControl/>
              <w:ind w:firstLine="4200" w:firstLineChars="1500"/>
              <w:jc w:val="center"/>
              <w:rPr>
                <w:rFonts w:hint="eastAsia" w:ascii="方正仿宋_GBK" w:hAnsi="方正仿宋_GBK" w:eastAsia="方正仿宋_GBK" w:cs="方正仿宋_GBK"/>
                <w:b w:val="0"/>
                <w:bCs w:val="0"/>
                <w:kern w:val="0"/>
                <w:sz w:val="28"/>
                <w:szCs w:val="28"/>
                <w:lang w:eastAsia="zh-CN"/>
              </w:rPr>
            </w:pPr>
          </w:p>
          <w:p>
            <w:pPr>
              <w:widowControl/>
              <w:ind w:firstLine="4200" w:firstLineChars="1500"/>
              <w:jc w:val="center"/>
              <w:rPr>
                <w:rFonts w:hint="eastAsia" w:ascii="方正仿宋_GBK" w:hAnsi="方正仿宋_GBK" w:eastAsia="方正仿宋_GBK" w:cs="方正仿宋_GBK"/>
                <w:b w:val="0"/>
                <w:bCs w:val="0"/>
                <w:kern w:val="0"/>
                <w:sz w:val="28"/>
                <w:szCs w:val="28"/>
                <w:lang w:val="en-US" w:eastAsia="zh-CN"/>
              </w:rPr>
            </w:pPr>
            <w:r>
              <w:rPr>
                <w:rFonts w:hint="eastAsia" w:ascii="方正仿宋_GBK" w:hAnsi="方正仿宋_GBK" w:eastAsia="方正仿宋_GBK" w:cs="方正仿宋_GBK"/>
                <w:b w:val="0"/>
                <w:bCs w:val="0"/>
                <w:kern w:val="0"/>
                <w:sz w:val="28"/>
                <w:szCs w:val="28"/>
                <w:lang w:eastAsia="zh-CN"/>
              </w:rPr>
              <w:t>（</w:t>
            </w:r>
            <w:r>
              <w:rPr>
                <w:rFonts w:hint="eastAsia" w:ascii="方正仿宋_GBK" w:hAnsi="方正仿宋_GBK" w:eastAsia="方正仿宋_GBK" w:cs="方正仿宋_GBK"/>
                <w:b w:val="0"/>
                <w:bCs w:val="0"/>
                <w:kern w:val="0"/>
                <w:sz w:val="28"/>
                <w:szCs w:val="28"/>
                <w:lang w:val="en-US" w:eastAsia="zh-CN"/>
              </w:rPr>
              <w:t>盖章</w:t>
            </w:r>
            <w:r>
              <w:rPr>
                <w:rFonts w:hint="eastAsia" w:ascii="方正仿宋_GBK" w:hAnsi="方正仿宋_GBK" w:eastAsia="方正仿宋_GBK" w:cs="方正仿宋_GBK"/>
                <w:b w:val="0"/>
                <w:bCs w:val="0"/>
                <w:kern w:val="0"/>
                <w:sz w:val="28"/>
                <w:szCs w:val="28"/>
                <w:lang w:eastAsia="zh-CN"/>
              </w:rPr>
              <w:t>）</w:t>
            </w:r>
          </w:p>
          <w:p>
            <w:pPr>
              <w:widowControl/>
              <w:ind w:firstLine="3920" w:firstLineChars="1400"/>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b w:val="0"/>
                <w:bCs w:val="0"/>
                <w:kern w:val="0"/>
                <w:sz w:val="28"/>
                <w:szCs w:val="28"/>
              </w:rPr>
              <w:t>年</w:t>
            </w:r>
            <w:r>
              <w:rPr>
                <w:rFonts w:hint="eastAsia" w:ascii="方正仿宋_GBK" w:hAnsi="方正仿宋_GBK" w:eastAsia="方正仿宋_GBK" w:cs="方正仿宋_GBK"/>
                <w:b w:val="0"/>
                <w:bCs w:val="0"/>
                <w:kern w:val="0"/>
                <w:sz w:val="28"/>
                <w:szCs w:val="28"/>
                <w:lang w:val="en-US" w:eastAsia="zh-CN"/>
              </w:rPr>
              <w:t xml:space="preserve">   </w:t>
            </w:r>
            <w:r>
              <w:rPr>
                <w:rFonts w:hint="eastAsia" w:ascii="方正仿宋_GBK" w:hAnsi="方正仿宋_GBK" w:eastAsia="方正仿宋_GBK" w:cs="方正仿宋_GBK"/>
                <w:b w:val="0"/>
                <w:bCs w:val="0"/>
                <w:kern w:val="0"/>
                <w:sz w:val="28"/>
                <w:szCs w:val="28"/>
              </w:rPr>
              <w:t>月</w:t>
            </w:r>
            <w:r>
              <w:rPr>
                <w:rFonts w:hint="eastAsia" w:ascii="方正仿宋_GBK" w:hAnsi="方正仿宋_GBK" w:eastAsia="方正仿宋_GBK" w:cs="方正仿宋_GBK"/>
                <w:b w:val="0"/>
                <w:bCs w:val="0"/>
                <w:kern w:val="0"/>
                <w:sz w:val="28"/>
                <w:szCs w:val="28"/>
                <w:lang w:val="en-US" w:eastAsia="zh-CN"/>
              </w:rPr>
              <w:t xml:space="preserve">   </w:t>
            </w:r>
            <w:r>
              <w:rPr>
                <w:rFonts w:hint="eastAsia" w:ascii="方正仿宋_GBK" w:hAnsi="方正仿宋_GBK" w:eastAsia="方正仿宋_GBK" w:cs="方正仿宋_GBK"/>
                <w:b w:val="0"/>
                <w:bCs w:val="0"/>
                <w:kern w:val="0"/>
                <w:sz w:val="28"/>
                <w:szCs w:val="28"/>
              </w:rPr>
              <w:t>日</w:t>
            </w:r>
          </w:p>
        </w:tc>
      </w:tr>
    </w:tbl>
    <w:p>
      <w:pPr>
        <w:rPr>
          <w:rFonts w:hint="eastAsia" w:ascii="仿宋_GB2312" w:eastAsia="仿宋_GB2312"/>
          <w:sz w:val="32"/>
          <w:szCs w:val="32"/>
        </w:rPr>
      </w:pPr>
      <w:r>
        <w:rPr>
          <w:rFonts w:hint="eastAsia" w:ascii="仿宋_GB2312" w:eastAsia="仿宋_GB2312"/>
          <w:sz w:val="32"/>
          <w:szCs w:val="32"/>
        </w:rPr>
        <w:br w:type="page"/>
      </w:r>
    </w:p>
    <w:p>
      <w:pPr>
        <w:jc w:val="left"/>
        <w:rPr>
          <w:rFonts w:hint="default" w:ascii="方正小标宋_GBK" w:hAnsi="方正小标宋_GBK" w:eastAsia="方正小标宋_GBK" w:cs="方正小标宋_GBK"/>
          <w:sz w:val="44"/>
          <w:szCs w:val="44"/>
          <w:lang w:val="en-US" w:eastAsia="zh-CN"/>
        </w:rPr>
      </w:pPr>
      <w:r>
        <w:rPr>
          <w:rFonts w:hint="eastAsia" w:ascii="方正黑体_GBK" w:hAnsi="方正黑体_GBK" w:eastAsia="方正黑体_GBK" w:cs="方正黑体_GBK"/>
          <w:i w:val="0"/>
          <w:iCs w:val="0"/>
          <w:caps w:val="0"/>
          <w:color w:val="000000" w:themeColor="text1"/>
          <w:spacing w:val="0"/>
          <w:kern w:val="0"/>
          <w:sz w:val="32"/>
          <w:szCs w:val="32"/>
          <w:lang w:val="en-US" w:eastAsia="zh-CN" w:bidi="ar"/>
          <w14:textFill>
            <w14:solidFill>
              <w14:schemeClr w14:val="tx1"/>
            </w14:solidFill>
          </w14:textFill>
        </w:rPr>
        <w:t>附件</w:t>
      </w:r>
      <w:r>
        <w:rPr>
          <w:rFonts w:hint="eastAsia" w:ascii="Times New Roman" w:hAnsi="Times New Roman" w:eastAsia="方正黑体_GBK" w:cs="Times New Roman"/>
          <w:i w:val="0"/>
          <w:iCs w:val="0"/>
          <w:caps w:val="0"/>
          <w:color w:val="000000" w:themeColor="text1"/>
          <w:spacing w:val="0"/>
          <w:kern w:val="0"/>
          <w:sz w:val="32"/>
          <w:szCs w:val="32"/>
          <w:lang w:val="en-US" w:eastAsia="zh-CN" w:bidi="ar"/>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700" w:lineRule="exact"/>
        <w:ind w:firstLine="0"/>
        <w:jc w:val="center"/>
        <w:textAlignment w:val="auto"/>
        <w:rPr>
          <w:rFonts w:hint="default" w:ascii="黑体" w:eastAsia="黑体"/>
          <w:sz w:val="44"/>
          <w:szCs w:val="44"/>
          <w:lang w:val="en-US"/>
        </w:rPr>
      </w:pPr>
      <w:r>
        <w:rPr>
          <w:rFonts w:hint="eastAsia" w:ascii="方正小标宋_GBK" w:hAnsi="方正小标宋_GBK" w:eastAsia="方正小标宋_GBK" w:cs="方正小标宋_GBK"/>
          <w:sz w:val="44"/>
          <w:szCs w:val="44"/>
          <w:lang w:val="en-US" w:eastAsia="zh-CN"/>
        </w:rPr>
        <w:t>成都东部新区人民调解专家指派通知书</w:t>
      </w:r>
    </w:p>
    <w:p>
      <w:pPr>
        <w:pStyle w:val="3"/>
        <w:jc w:val="center"/>
        <w:rPr>
          <w:rFonts w:hint="eastAsia"/>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b w:val="0"/>
          <w:bCs w:val="0"/>
          <w:color w:val="auto"/>
          <w:kern w:val="2"/>
          <w:sz w:val="32"/>
          <w:szCs w:val="32"/>
          <w:lang w:val="en-US" w:eastAsia="zh-CN" w:bidi="ar"/>
        </w:rPr>
        <w:t>XX</w:t>
      </w:r>
      <w:r>
        <w:rPr>
          <w:rFonts w:hint="eastAsia" w:ascii="方正仿宋_GBK" w:hAnsi="方正仿宋_GBK" w:eastAsia="方正仿宋_GBK" w:cs="方正仿宋_GBK"/>
          <w:sz w:val="32"/>
          <w:szCs w:val="32"/>
          <w:lang w:val="en-US" w:eastAsia="zh-CN"/>
        </w:rPr>
        <w:t>调解组织，</w:t>
      </w:r>
      <w:r>
        <w:rPr>
          <w:rFonts w:hint="eastAsia" w:ascii="Times New Roman" w:hAnsi="Times New Roman" w:eastAsia="方正仿宋_GBK" w:cs="Times New Roman"/>
          <w:b w:val="0"/>
          <w:bCs w:val="0"/>
          <w:color w:val="auto"/>
          <w:kern w:val="2"/>
          <w:sz w:val="32"/>
          <w:szCs w:val="32"/>
          <w:lang w:val="en-US" w:eastAsia="zh-CN" w:bidi="ar"/>
        </w:rPr>
        <w:t>XX</w:t>
      </w:r>
      <w:r>
        <w:rPr>
          <w:rFonts w:hint="eastAsia" w:ascii="方正仿宋_GBK" w:hAnsi="方正仿宋_GBK" w:eastAsia="方正仿宋_GBK" w:cs="方正仿宋_GBK"/>
          <w:sz w:val="32"/>
          <w:szCs w:val="32"/>
          <w:lang w:val="en-US" w:eastAsia="zh-CN"/>
        </w:rPr>
        <w:t>调解专家</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lang w:val="en-US" w:eastAsia="zh-CN"/>
        </w:rPr>
        <w:t>提出的调解专家指派申请，经协商沟通，现指派调解专家</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lang w:val="en-US" w:eastAsia="zh-CN"/>
        </w:rPr>
        <w:t xml:space="preserve"> 参与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lang w:val="en-US" w:eastAsia="zh-CN"/>
        </w:rPr>
        <w:t>案件调解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请你们加强联络，共同做好该案件调解工作。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
        </w:rPr>
      </w:pPr>
      <w:r>
        <w:rPr>
          <w:rFonts w:hint="eastAsia" w:ascii="Times New Roman" w:hAnsi="Times New Roman" w:eastAsia="方正仿宋_GBK" w:cs="Times New Roman"/>
          <w:b w:val="0"/>
          <w:bCs w:val="0"/>
          <w:color w:val="auto"/>
          <w:kern w:val="2"/>
          <w:sz w:val="32"/>
          <w:szCs w:val="32"/>
          <w:lang w:val="en-US" w:eastAsia="zh-CN" w:bidi="ar"/>
        </w:rPr>
        <w:t>XX调解组织联络人：XXX，电话：XXX。</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
        </w:rPr>
      </w:pPr>
      <w:r>
        <w:rPr>
          <w:rFonts w:hint="eastAsia" w:ascii="Times New Roman" w:hAnsi="Times New Roman" w:eastAsia="方正仿宋_GBK" w:cs="Times New Roman"/>
          <w:b w:val="0"/>
          <w:bCs w:val="0"/>
          <w:color w:val="auto"/>
          <w:kern w:val="2"/>
          <w:sz w:val="32"/>
          <w:szCs w:val="32"/>
          <w:lang w:val="en-US" w:eastAsia="zh-CN" w:bidi="ar"/>
        </w:rPr>
        <w:t>调解专家：XXX，电话：XXX。</w:t>
      </w:r>
    </w:p>
    <w:p>
      <w:pPr>
        <w:rPr>
          <w:rFonts w:hint="eastAsia" w:ascii="方正仿宋_GBK" w:hAnsi="方正仿宋_GBK" w:eastAsia="方正仿宋_GBK" w:cs="方正仿宋_GBK"/>
          <w:sz w:val="32"/>
          <w:szCs w:val="32"/>
          <w:lang w:val="en-US" w:eastAsia="zh-CN"/>
        </w:rPr>
      </w:pPr>
    </w:p>
    <w:p>
      <w:pPr>
        <w:pStyle w:val="3"/>
        <w:jc w:val="right"/>
        <w:rPr>
          <w:rFonts w:hint="eastAsia" w:ascii="方正仿宋_GBK" w:hAnsi="方正仿宋_GBK" w:eastAsia="方正仿宋_GBK" w:cs="方正仿宋_GBK"/>
          <w:sz w:val="32"/>
          <w:szCs w:val="32"/>
          <w:lang w:val="en-US" w:eastAsia="zh-CN"/>
        </w:rPr>
      </w:pPr>
    </w:p>
    <w:p>
      <w:pPr>
        <w:pStyle w:val="3"/>
        <w:jc w:val="right"/>
        <w:rPr>
          <w:rFonts w:hint="eastAsia"/>
          <w:lang w:val="en-US" w:eastAsia="zh-CN"/>
        </w:rPr>
      </w:pPr>
      <w:r>
        <w:rPr>
          <w:rFonts w:hint="eastAsia" w:ascii="方正仿宋_GBK" w:hAnsi="方正仿宋_GBK" w:eastAsia="方正仿宋_GBK" w:cs="方正仿宋_GBK"/>
          <w:sz w:val="32"/>
          <w:szCs w:val="32"/>
          <w:lang w:val="en-US" w:eastAsia="zh-CN"/>
        </w:rPr>
        <w:t>成都东部新区人民调解指导中心</w:t>
      </w:r>
    </w:p>
    <w:p>
      <w:pPr>
        <w:pStyle w:val="3"/>
        <w:keepNext w:val="0"/>
        <w:keepLines w:val="0"/>
        <w:pageBreakBefore w:val="0"/>
        <w:widowControl/>
        <w:kinsoku/>
        <w:wordWrap/>
        <w:overflowPunct/>
        <w:topLinePunct w:val="0"/>
        <w:autoSpaceDE/>
        <w:autoSpaceDN/>
        <w:bidi w:val="0"/>
        <w:adjustRightInd/>
        <w:snapToGrid/>
        <w:spacing w:line="600" w:lineRule="exact"/>
        <w:ind w:firstLine="5760" w:firstLineChars="18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（联系人：     ；电话：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jc w:val="left"/>
        <w:rPr>
          <w:rFonts w:hint="eastAsia" w:ascii="方正黑体_GBK" w:hAnsi="方正黑体_GBK" w:eastAsia="方正黑体_GBK" w:cs="方正黑体_GBK"/>
          <w:i w:val="0"/>
          <w:iCs w:val="0"/>
          <w:caps w:val="0"/>
          <w:color w:val="000000" w:themeColor="text1"/>
          <w:spacing w:val="0"/>
          <w:kern w:val="0"/>
          <w:sz w:val="32"/>
          <w:szCs w:val="32"/>
          <w:lang w:val="en-US" w:eastAsia="zh-CN" w:bidi="ar"/>
          <w14:textFill>
            <w14:solidFill>
              <w14:schemeClr w14:val="tx1"/>
            </w14:solidFill>
          </w14:textFill>
        </w:rPr>
      </w:pPr>
    </w:p>
    <w:p>
      <w:pPr>
        <w:jc w:val="left"/>
        <w:rPr>
          <w:rFonts w:hint="eastAsia" w:ascii="方正黑体_GBK" w:hAnsi="方正黑体_GBK" w:eastAsia="方正黑体_GBK" w:cs="方正黑体_GBK"/>
          <w:i w:val="0"/>
          <w:iCs w:val="0"/>
          <w:caps w:val="0"/>
          <w:color w:val="000000" w:themeColor="text1"/>
          <w:spacing w:val="0"/>
          <w:kern w:val="0"/>
          <w:sz w:val="32"/>
          <w:szCs w:val="32"/>
          <w:lang w:val="en-US" w:eastAsia="zh-CN" w:bidi="ar"/>
          <w14:textFill>
            <w14:solidFill>
              <w14:schemeClr w14:val="tx1"/>
            </w14:solidFill>
          </w14:textFill>
        </w:rPr>
      </w:pPr>
    </w:p>
    <w:p>
      <w:pPr>
        <w:jc w:val="left"/>
        <w:rPr>
          <w:rFonts w:hint="eastAsia" w:ascii="方正黑体_GBK" w:hAnsi="方正黑体_GBK" w:eastAsia="方正黑体_GBK" w:cs="方正黑体_GBK"/>
          <w:i w:val="0"/>
          <w:iCs w:val="0"/>
          <w:caps w:val="0"/>
          <w:color w:val="000000" w:themeColor="text1"/>
          <w:spacing w:val="0"/>
          <w:kern w:val="0"/>
          <w:sz w:val="32"/>
          <w:szCs w:val="32"/>
          <w:lang w:val="en-US" w:eastAsia="zh-CN" w:bidi="ar"/>
          <w14:textFill>
            <w14:solidFill>
              <w14:schemeClr w14:val="tx1"/>
            </w14:solidFill>
          </w14:textFill>
        </w:rPr>
      </w:pPr>
    </w:p>
    <w:p>
      <w:pPr>
        <w:jc w:val="left"/>
        <w:rPr>
          <w:rFonts w:hint="eastAsia" w:ascii="方正黑体_GBK" w:hAnsi="方正黑体_GBK" w:eastAsia="方正黑体_GBK" w:cs="方正黑体_GBK"/>
          <w:i w:val="0"/>
          <w:iCs w:val="0"/>
          <w:caps w:val="0"/>
          <w:color w:val="000000" w:themeColor="text1"/>
          <w:spacing w:val="0"/>
          <w:kern w:val="0"/>
          <w:sz w:val="32"/>
          <w:szCs w:val="32"/>
          <w:lang w:val="en-US" w:eastAsia="zh-CN" w:bidi="ar"/>
          <w14:textFill>
            <w14:solidFill>
              <w14:schemeClr w14:val="tx1"/>
            </w14:solidFill>
          </w14:textFill>
        </w:rPr>
      </w:pPr>
    </w:p>
    <w:p>
      <w:pPr>
        <w:jc w:val="left"/>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i w:val="0"/>
          <w:iCs w:val="0"/>
          <w:caps w:val="0"/>
          <w:color w:val="000000" w:themeColor="text1"/>
          <w:spacing w:val="0"/>
          <w:kern w:val="0"/>
          <w:sz w:val="32"/>
          <w:szCs w:val="32"/>
          <w:lang w:val="en-US" w:eastAsia="zh-CN" w:bidi="ar"/>
          <w14:textFill>
            <w14:solidFill>
              <w14:schemeClr w14:val="tx1"/>
            </w14:solidFill>
          </w14:textFill>
        </w:rPr>
        <w:t>附件</w:t>
      </w:r>
      <w:r>
        <w:rPr>
          <w:rFonts w:hint="eastAsia" w:ascii="Times New Roman" w:hAnsi="Times New Roman" w:eastAsia="方正黑体_GBK" w:cs="Times New Roman"/>
          <w:i w:val="0"/>
          <w:iCs w:val="0"/>
          <w:caps w:val="0"/>
          <w:color w:val="000000" w:themeColor="text1"/>
          <w:spacing w:val="0"/>
          <w:kern w:val="0"/>
          <w:sz w:val="32"/>
          <w:szCs w:val="32"/>
          <w:lang w:val="en-US" w:eastAsia="zh-CN" w:bidi="ar"/>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700" w:lineRule="exact"/>
        <w:ind w:firstLine="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XX案件调解结果反馈表</w:t>
      </w:r>
    </w:p>
    <w:p>
      <w:pPr>
        <w:keepNext w:val="0"/>
        <w:keepLines w:val="0"/>
        <w:pageBreakBefore w:val="0"/>
        <w:widowControl/>
        <w:kinsoku/>
        <w:wordWrap/>
        <w:overflowPunct/>
        <w:topLinePunct w:val="0"/>
        <w:autoSpaceDE/>
        <w:autoSpaceDN/>
        <w:bidi w:val="0"/>
        <w:adjustRightInd/>
        <w:snapToGrid/>
        <w:spacing w:line="700" w:lineRule="exact"/>
        <w:ind w:firstLine="0"/>
        <w:jc w:val="center"/>
        <w:textAlignment w:val="auto"/>
        <w:rPr>
          <w:rFonts w:hint="eastAsia" w:ascii="方正仿宋_GBK" w:hAnsi="方正仿宋_GBK" w:eastAsia="方正仿宋_GBK" w:cs="方正仿宋_GBK"/>
          <w:sz w:val="32"/>
          <w:szCs w:val="32"/>
          <w:lang w:val="en-US" w:eastAsia="zh-CN"/>
        </w:rPr>
      </w:pPr>
    </w:p>
    <w:tbl>
      <w:tblPr>
        <w:tblStyle w:val="8"/>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38"/>
        <w:gridCol w:w="3925"/>
        <w:gridCol w:w="1537"/>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gridSpan w:val="2"/>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kern w:val="0"/>
                <w:sz w:val="28"/>
                <w:szCs w:val="28"/>
                <w:lang w:val="en-US" w:eastAsia="zh-CN"/>
              </w:rPr>
            </w:pPr>
            <w:r>
              <w:rPr>
                <w:rFonts w:hint="eastAsia" w:ascii="方正仿宋_GBK" w:hAnsi="方正仿宋_GBK" w:eastAsia="方正仿宋_GBK" w:cs="方正仿宋_GBK"/>
                <w:b w:val="0"/>
                <w:bCs w:val="0"/>
                <w:kern w:val="0"/>
                <w:sz w:val="28"/>
                <w:szCs w:val="28"/>
                <w:lang w:val="en-US" w:eastAsia="zh-CN"/>
              </w:rPr>
              <w:t>承办调解组织</w:t>
            </w:r>
          </w:p>
        </w:tc>
        <w:tc>
          <w:tcPr>
            <w:tcW w:w="7455" w:type="dxa"/>
            <w:gridSpan w:val="3"/>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gridSpan w:val="2"/>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调解专家</w:t>
            </w:r>
          </w:p>
        </w:tc>
        <w:tc>
          <w:tcPr>
            <w:tcW w:w="3925" w:type="dxa"/>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0"/>
                <w:sz w:val="28"/>
                <w:szCs w:val="28"/>
                <w:lang w:val="en-US" w:eastAsia="zh-CN"/>
              </w:rPr>
            </w:pPr>
          </w:p>
        </w:tc>
        <w:tc>
          <w:tcPr>
            <w:tcW w:w="1537" w:type="dxa"/>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kern w:val="0"/>
                <w:sz w:val="28"/>
                <w:szCs w:val="28"/>
                <w:lang w:val="en-US" w:eastAsia="zh-CN"/>
              </w:rPr>
            </w:pPr>
            <w:r>
              <w:rPr>
                <w:rFonts w:hint="eastAsia" w:ascii="方正仿宋_GBK" w:hAnsi="方正仿宋_GBK" w:eastAsia="方正仿宋_GBK" w:cs="方正仿宋_GBK"/>
                <w:b w:val="0"/>
                <w:bCs w:val="0"/>
                <w:kern w:val="0"/>
                <w:sz w:val="28"/>
                <w:szCs w:val="28"/>
                <w:lang w:val="en-US" w:eastAsia="zh-CN"/>
              </w:rPr>
              <w:t>联系电话</w:t>
            </w:r>
          </w:p>
        </w:tc>
        <w:tc>
          <w:tcPr>
            <w:tcW w:w="1993" w:type="dxa"/>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gridSpan w:val="2"/>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kern w:val="0"/>
                <w:sz w:val="28"/>
                <w:szCs w:val="28"/>
                <w:lang w:val="en-US" w:eastAsia="zh-CN"/>
              </w:rPr>
            </w:pPr>
            <w:r>
              <w:rPr>
                <w:rFonts w:hint="eastAsia" w:ascii="方正仿宋_GBK" w:hAnsi="方正仿宋_GBK" w:eastAsia="方正仿宋_GBK" w:cs="方正仿宋_GBK"/>
                <w:b w:val="0"/>
                <w:bCs w:val="0"/>
                <w:sz w:val="28"/>
                <w:szCs w:val="28"/>
                <w:lang w:val="en-US" w:eastAsia="zh-CN"/>
              </w:rPr>
              <w:t>当事人</w:t>
            </w:r>
          </w:p>
        </w:tc>
        <w:tc>
          <w:tcPr>
            <w:tcW w:w="3925" w:type="dxa"/>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0"/>
                <w:sz w:val="28"/>
                <w:szCs w:val="28"/>
                <w:lang w:val="en-US" w:eastAsia="zh-CN"/>
              </w:rPr>
            </w:pPr>
          </w:p>
        </w:tc>
        <w:tc>
          <w:tcPr>
            <w:tcW w:w="1537" w:type="dxa"/>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kern w:val="0"/>
                <w:sz w:val="28"/>
                <w:szCs w:val="28"/>
                <w:lang w:val="en-US" w:eastAsia="zh-CN"/>
              </w:rPr>
            </w:pPr>
            <w:r>
              <w:rPr>
                <w:rFonts w:hint="eastAsia" w:ascii="方正仿宋_GBK" w:hAnsi="方正仿宋_GBK" w:eastAsia="方正仿宋_GBK" w:cs="方正仿宋_GBK"/>
                <w:b w:val="0"/>
                <w:bCs w:val="0"/>
                <w:kern w:val="0"/>
                <w:sz w:val="28"/>
                <w:szCs w:val="28"/>
                <w:lang w:val="en-US" w:eastAsia="zh-CN"/>
              </w:rPr>
              <w:t>联系电话</w:t>
            </w:r>
          </w:p>
        </w:tc>
        <w:tc>
          <w:tcPr>
            <w:tcW w:w="1993" w:type="dxa"/>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gridSpan w:val="2"/>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0"/>
                <w:sz w:val="28"/>
                <w:szCs w:val="28"/>
                <w:lang w:val="en-US" w:eastAsia="zh-CN"/>
              </w:rPr>
            </w:pPr>
            <w:r>
              <w:rPr>
                <w:rFonts w:hint="eastAsia" w:ascii="方正仿宋_GBK" w:hAnsi="方正仿宋_GBK" w:eastAsia="方正仿宋_GBK" w:cs="方正仿宋_GBK"/>
                <w:b w:val="0"/>
                <w:bCs w:val="0"/>
                <w:sz w:val="28"/>
                <w:szCs w:val="28"/>
                <w:lang w:val="en-US" w:eastAsia="zh-CN"/>
              </w:rPr>
              <w:t>当事人</w:t>
            </w:r>
          </w:p>
        </w:tc>
        <w:tc>
          <w:tcPr>
            <w:tcW w:w="3925" w:type="dxa"/>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0"/>
                <w:sz w:val="28"/>
                <w:szCs w:val="28"/>
                <w:lang w:val="en-US" w:eastAsia="zh-CN"/>
              </w:rPr>
            </w:pPr>
          </w:p>
        </w:tc>
        <w:tc>
          <w:tcPr>
            <w:tcW w:w="1537" w:type="dxa"/>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kern w:val="0"/>
                <w:sz w:val="28"/>
                <w:szCs w:val="28"/>
                <w:lang w:val="en-US" w:eastAsia="zh-CN"/>
              </w:rPr>
            </w:pPr>
            <w:r>
              <w:rPr>
                <w:rFonts w:hint="eastAsia" w:ascii="方正仿宋_GBK" w:hAnsi="方正仿宋_GBK" w:eastAsia="方正仿宋_GBK" w:cs="方正仿宋_GBK"/>
                <w:b w:val="0"/>
                <w:bCs w:val="0"/>
                <w:kern w:val="0"/>
                <w:sz w:val="28"/>
                <w:szCs w:val="28"/>
                <w:lang w:val="en-US" w:eastAsia="zh-CN"/>
              </w:rPr>
              <w:t>联系电话</w:t>
            </w:r>
          </w:p>
        </w:tc>
        <w:tc>
          <w:tcPr>
            <w:tcW w:w="1993" w:type="dxa"/>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gridSpan w:val="2"/>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案由</w:t>
            </w:r>
          </w:p>
        </w:tc>
        <w:tc>
          <w:tcPr>
            <w:tcW w:w="7455" w:type="dxa"/>
            <w:gridSpan w:val="3"/>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8" w:type="dxa"/>
            <w:vMerge w:val="restart"/>
            <w:vAlign w:val="top"/>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0"/>
                <w:sz w:val="28"/>
                <w:szCs w:val="28"/>
                <w:lang w:val="en-US" w:eastAsia="zh-CN"/>
              </w:rPr>
            </w:pPr>
            <w:r>
              <w:rPr>
                <w:rFonts w:hint="eastAsia" w:ascii="方正仿宋_GBK" w:hAnsi="方正仿宋_GBK" w:eastAsia="方正仿宋_GBK" w:cs="方正仿宋_GBK"/>
                <w:b w:val="0"/>
                <w:bCs w:val="0"/>
                <w:kern w:val="0"/>
                <w:sz w:val="28"/>
                <w:szCs w:val="28"/>
                <w:lang w:val="en-US" w:eastAsia="zh-CN"/>
              </w:rPr>
              <w:t>调解结果反馈</w:t>
            </w:r>
          </w:p>
        </w:tc>
        <w:tc>
          <w:tcPr>
            <w:tcW w:w="1338" w:type="dxa"/>
            <w:vAlign w:val="top"/>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b w:val="0"/>
                <w:bCs w:val="0"/>
                <w:kern w:val="0"/>
                <w:sz w:val="28"/>
                <w:szCs w:val="28"/>
                <w:lang w:val="en-US" w:eastAsia="zh-CN"/>
              </w:rPr>
            </w:pPr>
            <w:r>
              <w:rPr>
                <w:rFonts w:hint="eastAsia" w:ascii="方正仿宋_GBK" w:hAnsi="方正仿宋_GBK" w:eastAsia="方正仿宋_GBK" w:cs="方正仿宋_GBK"/>
                <w:b w:val="0"/>
                <w:bCs w:val="0"/>
                <w:kern w:val="0"/>
                <w:sz w:val="28"/>
                <w:szCs w:val="28"/>
                <w:lang w:val="en-US" w:eastAsia="zh-CN"/>
              </w:rPr>
              <w:t>调解时间</w:t>
            </w:r>
          </w:p>
        </w:tc>
        <w:tc>
          <w:tcPr>
            <w:tcW w:w="3925" w:type="dxa"/>
            <w:vAlign w:val="top"/>
          </w:tcPr>
          <w:p>
            <w:pPr>
              <w:keepNext w:val="0"/>
              <w:keepLines w:val="0"/>
              <w:pageBreakBefore w:val="0"/>
              <w:widowControl/>
              <w:kinsoku/>
              <w:wordWrap/>
              <w:overflowPunct/>
              <w:topLinePunct w:val="0"/>
              <w:autoSpaceDE/>
              <w:autoSpaceDN/>
              <w:bidi w:val="0"/>
              <w:adjustRightInd/>
              <w:snapToGrid/>
              <w:spacing w:line="560" w:lineRule="exact"/>
              <w:ind w:firstLine="3920" w:firstLineChars="1400"/>
              <w:jc w:val="center"/>
              <w:textAlignment w:val="auto"/>
              <w:rPr>
                <w:rFonts w:hint="eastAsia" w:ascii="方正仿宋_GBK" w:hAnsi="方正仿宋_GBK" w:eastAsia="方正仿宋_GBK" w:cs="方正仿宋_GBK"/>
                <w:b w:val="0"/>
                <w:bCs w:val="0"/>
                <w:kern w:val="0"/>
                <w:sz w:val="28"/>
                <w:szCs w:val="28"/>
              </w:rPr>
            </w:pPr>
          </w:p>
        </w:tc>
        <w:tc>
          <w:tcPr>
            <w:tcW w:w="1537"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heme="minorHAnsi" w:hAnsiTheme="minorHAnsi" w:eastAsiaTheme="minorEastAsia" w:cstheme="minorBidi"/>
                <w:b w:val="0"/>
                <w:bCs w:val="0"/>
                <w:kern w:val="0"/>
                <w:sz w:val="28"/>
                <w:szCs w:val="28"/>
                <w:lang w:val="en-US" w:eastAsia="zh-CN" w:bidi="ar"/>
              </w:rPr>
            </w:pPr>
            <w:r>
              <w:rPr>
                <w:rFonts w:hint="eastAsia" w:ascii="方正仿宋_GBK" w:hAnsi="方正仿宋_GBK" w:eastAsia="方正仿宋_GBK" w:cs="方正仿宋_GBK"/>
                <w:b w:val="0"/>
                <w:bCs w:val="0"/>
                <w:kern w:val="0"/>
                <w:sz w:val="28"/>
                <w:szCs w:val="28"/>
                <w:lang w:val="en-US" w:eastAsia="zh-CN" w:bidi="ar"/>
              </w:rPr>
              <w:t>调解结果</w:t>
            </w:r>
          </w:p>
        </w:tc>
        <w:tc>
          <w:tcPr>
            <w:tcW w:w="1993" w:type="dxa"/>
            <w:vAlign w:val="top"/>
          </w:tcPr>
          <w:p>
            <w:pPr>
              <w:keepNext w:val="0"/>
              <w:keepLines w:val="0"/>
              <w:pageBreakBefore w:val="0"/>
              <w:widowControl/>
              <w:kinsoku/>
              <w:wordWrap/>
              <w:overflowPunct/>
              <w:topLinePunct w:val="0"/>
              <w:autoSpaceDE/>
              <w:autoSpaceDN/>
              <w:bidi w:val="0"/>
              <w:adjustRightInd/>
              <w:snapToGrid/>
              <w:spacing w:line="560" w:lineRule="exact"/>
              <w:ind w:firstLine="3920" w:firstLineChars="1400"/>
              <w:jc w:val="center"/>
              <w:textAlignment w:val="auto"/>
              <w:rPr>
                <w:rFonts w:hint="eastAsia" w:ascii="方正仿宋_GBK" w:hAnsi="方正仿宋_GBK" w:eastAsia="方正仿宋_GBK" w:cs="方正仿宋_GBK"/>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768" w:type="dxa"/>
            <w:vMerge w:val="continue"/>
            <w:vAlign w:val="top"/>
          </w:tcPr>
          <w:p>
            <w:pPr>
              <w:keepNext w:val="0"/>
              <w:keepLines w:val="0"/>
              <w:pageBreakBefore w:val="0"/>
              <w:widowControl/>
              <w:kinsoku/>
              <w:wordWrap/>
              <w:overflowPunct/>
              <w:topLinePunct w:val="0"/>
              <w:autoSpaceDE/>
              <w:autoSpaceDN/>
              <w:bidi w:val="0"/>
              <w:adjustRightInd/>
              <w:snapToGrid/>
              <w:spacing w:line="560" w:lineRule="exact"/>
              <w:ind w:firstLine="3920" w:firstLineChars="1400"/>
              <w:jc w:val="center"/>
              <w:textAlignment w:val="auto"/>
              <w:rPr>
                <w:b w:val="0"/>
                <w:bCs w:val="0"/>
                <w:sz w:val="28"/>
                <w:szCs w:val="28"/>
              </w:rPr>
            </w:pPr>
          </w:p>
        </w:tc>
        <w:tc>
          <w:tcPr>
            <w:tcW w:w="1338"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b w:val="0"/>
                <w:bCs w:val="0"/>
                <w:kern w:val="0"/>
                <w:sz w:val="28"/>
                <w:szCs w:val="28"/>
                <w:lang w:val="en-US" w:eastAsia="zh-CN"/>
              </w:rPr>
            </w:pPr>
            <w:r>
              <w:rPr>
                <w:rFonts w:hint="eastAsia" w:ascii="方正仿宋_GBK" w:hAnsi="方正仿宋_GBK" w:eastAsia="方正仿宋_GBK" w:cs="方正仿宋_GBK"/>
                <w:b w:val="0"/>
                <w:bCs w:val="0"/>
                <w:kern w:val="0"/>
                <w:sz w:val="28"/>
                <w:szCs w:val="28"/>
                <w:lang w:val="en-US" w:eastAsia="zh-CN"/>
              </w:rPr>
              <w:t>调解情况</w:t>
            </w:r>
          </w:p>
        </w:tc>
        <w:tc>
          <w:tcPr>
            <w:tcW w:w="7455" w:type="dxa"/>
            <w:gridSpan w:val="3"/>
            <w:vAlign w:val="center"/>
          </w:tcPr>
          <w:p>
            <w:pPr>
              <w:keepNext w:val="0"/>
              <w:keepLines w:val="0"/>
              <w:pageBreakBefore w:val="0"/>
              <w:widowControl w:val="0"/>
              <w:tabs>
                <w:tab w:val="left" w:pos="1636"/>
              </w:tabs>
              <w:kinsoku/>
              <w:wordWrap/>
              <w:overflowPunct/>
              <w:topLinePunct w:val="0"/>
              <w:autoSpaceDE/>
              <w:autoSpaceDN/>
              <w:bidi w:val="0"/>
              <w:adjustRightInd/>
              <w:snapToGrid/>
              <w:spacing w:line="560" w:lineRule="exact"/>
              <w:jc w:val="lef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8" w:type="dxa"/>
            <w:vAlign w:val="top"/>
          </w:tcPr>
          <w:p>
            <w:pPr>
              <w:keepNext w:val="0"/>
              <w:keepLines w:val="0"/>
              <w:pageBreakBefore w:val="0"/>
              <w:widowControl w:val="0"/>
              <w:tabs>
                <w:tab w:val="left" w:pos="1342"/>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备注</w:t>
            </w:r>
          </w:p>
        </w:tc>
        <w:tc>
          <w:tcPr>
            <w:tcW w:w="8793" w:type="dxa"/>
            <w:gridSpan w:val="4"/>
            <w:vAlign w:val="top"/>
          </w:tcPr>
          <w:p>
            <w:pPr>
              <w:keepNext w:val="0"/>
              <w:keepLines w:val="0"/>
              <w:pageBreakBefore w:val="0"/>
              <w:widowControl w:val="0"/>
              <w:tabs>
                <w:tab w:val="left" w:pos="1342"/>
              </w:tabs>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en-US" w:eastAsia="zh-CN"/>
              </w:rPr>
              <w:t>如</w:t>
            </w:r>
            <w:r>
              <w:rPr>
                <w:rFonts w:hint="eastAsia" w:ascii="方正仿宋_GBK" w:hAnsi="方正仿宋_GBK" w:eastAsia="方正仿宋_GBK" w:cs="方正仿宋_GBK"/>
                <w:b w:val="0"/>
                <w:bCs w:val="0"/>
                <w:kern w:val="0"/>
                <w:sz w:val="28"/>
                <w:szCs w:val="28"/>
                <w:lang w:val="en-US" w:eastAsia="zh-CN"/>
              </w:rPr>
              <w:t>调解成功，请附上调解协议书或口头协议记录内容；</w:t>
            </w:r>
          </w:p>
          <w:p>
            <w:pPr>
              <w:keepNext w:val="0"/>
              <w:keepLines w:val="0"/>
              <w:pageBreakBefore w:val="0"/>
              <w:widowControl w:val="0"/>
              <w:tabs>
                <w:tab w:val="left" w:pos="1342"/>
              </w:tabs>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2.承办调解组织应当自调解结束之日起10个工作日内向成都东部新区人民调解指导中心报送《XX案件调解结果反馈表》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9561" w:type="dxa"/>
            <w:gridSpan w:val="5"/>
            <w:vAlign w:val="top"/>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pacing w:val="-23"/>
                <w:sz w:val="28"/>
                <w:szCs w:val="28"/>
                <w:lang w:val="en-US" w:eastAsia="zh-CN"/>
              </w:rPr>
              <w:t>调解专家</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pacing w:val="-23"/>
                <w:sz w:val="28"/>
                <w:szCs w:val="28"/>
                <w:lang w:val="en-US" w:eastAsia="zh-CN"/>
              </w:rPr>
              <w:t>（签</w:t>
            </w:r>
            <w:r>
              <w:rPr>
                <w:rFonts w:hint="eastAsia" w:ascii="方正仿宋_GBK" w:hAnsi="方正仿宋_GBK" w:eastAsia="方正仿宋_GBK" w:cs="方正仿宋_GBK"/>
                <w:sz w:val="28"/>
                <w:szCs w:val="28"/>
                <w:lang w:val="en-US" w:eastAsia="zh-CN"/>
              </w:rPr>
              <w:t>名）                 承办调解组织：（盖章）</w:t>
            </w:r>
          </w:p>
          <w:p>
            <w:pPr>
              <w:keepNext w:val="0"/>
              <w:keepLines w:val="0"/>
              <w:pageBreakBefore w:val="0"/>
              <w:widowControl w:val="0"/>
              <w:kinsoku/>
              <w:wordWrap/>
              <w:overflowPunct/>
              <w:topLinePunct w:val="0"/>
              <w:autoSpaceDE/>
              <w:autoSpaceDN/>
              <w:bidi w:val="0"/>
              <w:adjustRightInd/>
              <w:snapToGrid/>
              <w:spacing w:line="560" w:lineRule="exact"/>
              <w:ind w:firstLine="5320" w:firstLineChars="19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年   月  日</w:t>
            </w:r>
          </w:p>
        </w:tc>
      </w:tr>
    </w:tbl>
    <w:p>
      <w:pPr>
        <w:jc w:val="both"/>
        <w:rPr>
          <w:rFonts w:hint="eastAsia"/>
          <w:lang w:val="en-US" w:eastAsia="zh-CN"/>
        </w:rPr>
      </w:pP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jUwZDBkYzA4YWE5ODdmYTdkZGJjNjU4NmRlYTIifQ=="/>
  </w:docVars>
  <w:rsids>
    <w:rsidRoot w:val="3058392A"/>
    <w:rsid w:val="002E21DB"/>
    <w:rsid w:val="004268AF"/>
    <w:rsid w:val="006D7742"/>
    <w:rsid w:val="00735124"/>
    <w:rsid w:val="00951FEE"/>
    <w:rsid w:val="0132783D"/>
    <w:rsid w:val="0160084E"/>
    <w:rsid w:val="018207C5"/>
    <w:rsid w:val="01BA73E4"/>
    <w:rsid w:val="02313F99"/>
    <w:rsid w:val="02544CC5"/>
    <w:rsid w:val="026641FD"/>
    <w:rsid w:val="02E6671E"/>
    <w:rsid w:val="02F14FBC"/>
    <w:rsid w:val="0341682E"/>
    <w:rsid w:val="03434282"/>
    <w:rsid w:val="03514002"/>
    <w:rsid w:val="053E6F05"/>
    <w:rsid w:val="054F6C10"/>
    <w:rsid w:val="058B2628"/>
    <w:rsid w:val="05A351AD"/>
    <w:rsid w:val="05B16FE4"/>
    <w:rsid w:val="05F05DE1"/>
    <w:rsid w:val="062F6A41"/>
    <w:rsid w:val="063B1146"/>
    <w:rsid w:val="063B2A70"/>
    <w:rsid w:val="06603905"/>
    <w:rsid w:val="06AE381E"/>
    <w:rsid w:val="071A7395"/>
    <w:rsid w:val="071C6FC5"/>
    <w:rsid w:val="073108DF"/>
    <w:rsid w:val="0859627A"/>
    <w:rsid w:val="08872B64"/>
    <w:rsid w:val="08BC3764"/>
    <w:rsid w:val="08FF1C4F"/>
    <w:rsid w:val="091D1D71"/>
    <w:rsid w:val="092D1499"/>
    <w:rsid w:val="09544BDC"/>
    <w:rsid w:val="097F5A20"/>
    <w:rsid w:val="09863A1C"/>
    <w:rsid w:val="0A296106"/>
    <w:rsid w:val="0AF06993"/>
    <w:rsid w:val="0B114967"/>
    <w:rsid w:val="0B432769"/>
    <w:rsid w:val="0B444D3D"/>
    <w:rsid w:val="0B5331D2"/>
    <w:rsid w:val="0B6039B7"/>
    <w:rsid w:val="0C4C26BB"/>
    <w:rsid w:val="0CF031C9"/>
    <w:rsid w:val="0CFB142B"/>
    <w:rsid w:val="0D1B7319"/>
    <w:rsid w:val="0E177D72"/>
    <w:rsid w:val="0E2E370E"/>
    <w:rsid w:val="0ED61D65"/>
    <w:rsid w:val="0F152C78"/>
    <w:rsid w:val="0F4030EB"/>
    <w:rsid w:val="0FE51F22"/>
    <w:rsid w:val="104B091B"/>
    <w:rsid w:val="1068327B"/>
    <w:rsid w:val="11807745"/>
    <w:rsid w:val="11D35ECA"/>
    <w:rsid w:val="11D87DD3"/>
    <w:rsid w:val="12162147"/>
    <w:rsid w:val="1279795D"/>
    <w:rsid w:val="12CF75E2"/>
    <w:rsid w:val="12DE7825"/>
    <w:rsid w:val="13090EB0"/>
    <w:rsid w:val="13D8531B"/>
    <w:rsid w:val="13E77C38"/>
    <w:rsid w:val="140A6DEE"/>
    <w:rsid w:val="14213E6D"/>
    <w:rsid w:val="146E6986"/>
    <w:rsid w:val="147815B3"/>
    <w:rsid w:val="14A66C6D"/>
    <w:rsid w:val="156A35F2"/>
    <w:rsid w:val="15CE57D6"/>
    <w:rsid w:val="15D62BE2"/>
    <w:rsid w:val="165105A0"/>
    <w:rsid w:val="16757268"/>
    <w:rsid w:val="16C31C6E"/>
    <w:rsid w:val="174B5FC7"/>
    <w:rsid w:val="1759391E"/>
    <w:rsid w:val="17C84E9E"/>
    <w:rsid w:val="189015C1"/>
    <w:rsid w:val="190D676E"/>
    <w:rsid w:val="191775ED"/>
    <w:rsid w:val="1981715C"/>
    <w:rsid w:val="19A54B21"/>
    <w:rsid w:val="19A753EF"/>
    <w:rsid w:val="1A310B82"/>
    <w:rsid w:val="1A462E62"/>
    <w:rsid w:val="1AD35795"/>
    <w:rsid w:val="1B795D21"/>
    <w:rsid w:val="1B9F38C9"/>
    <w:rsid w:val="1BB27180"/>
    <w:rsid w:val="1BD9502D"/>
    <w:rsid w:val="1C3A08C4"/>
    <w:rsid w:val="1C883379"/>
    <w:rsid w:val="1C940F54"/>
    <w:rsid w:val="1D091942"/>
    <w:rsid w:val="1DF24A36"/>
    <w:rsid w:val="1EEB72AF"/>
    <w:rsid w:val="1F1A0416"/>
    <w:rsid w:val="1F4103AA"/>
    <w:rsid w:val="1F441FAD"/>
    <w:rsid w:val="1F4B0BE5"/>
    <w:rsid w:val="1F612D89"/>
    <w:rsid w:val="1FAC3676"/>
    <w:rsid w:val="1FFA5AB7"/>
    <w:rsid w:val="20777BC0"/>
    <w:rsid w:val="20C04A0E"/>
    <w:rsid w:val="2102153E"/>
    <w:rsid w:val="215F5FD5"/>
    <w:rsid w:val="21A34113"/>
    <w:rsid w:val="21AE10EE"/>
    <w:rsid w:val="21CC3202"/>
    <w:rsid w:val="21ED538F"/>
    <w:rsid w:val="220D77DF"/>
    <w:rsid w:val="2210311D"/>
    <w:rsid w:val="22D017AB"/>
    <w:rsid w:val="22DA20BB"/>
    <w:rsid w:val="22F27762"/>
    <w:rsid w:val="22FA070C"/>
    <w:rsid w:val="233A12CA"/>
    <w:rsid w:val="23B87311"/>
    <w:rsid w:val="23EF7201"/>
    <w:rsid w:val="2485597A"/>
    <w:rsid w:val="24880AFD"/>
    <w:rsid w:val="24FB1A11"/>
    <w:rsid w:val="250826D0"/>
    <w:rsid w:val="25CC7E8F"/>
    <w:rsid w:val="260512EE"/>
    <w:rsid w:val="26681488"/>
    <w:rsid w:val="267C4931"/>
    <w:rsid w:val="268F59CF"/>
    <w:rsid w:val="26CE53A3"/>
    <w:rsid w:val="272C6959"/>
    <w:rsid w:val="275630E4"/>
    <w:rsid w:val="27CC5A46"/>
    <w:rsid w:val="280A0A90"/>
    <w:rsid w:val="28562E8A"/>
    <w:rsid w:val="2892519F"/>
    <w:rsid w:val="28A06F01"/>
    <w:rsid w:val="28DB3015"/>
    <w:rsid w:val="29AD5239"/>
    <w:rsid w:val="29E4541D"/>
    <w:rsid w:val="2A4136DC"/>
    <w:rsid w:val="2A4976D4"/>
    <w:rsid w:val="2AC076D1"/>
    <w:rsid w:val="2B3631F4"/>
    <w:rsid w:val="2B5214A0"/>
    <w:rsid w:val="2BB84C5F"/>
    <w:rsid w:val="2C4464F3"/>
    <w:rsid w:val="2C9F5779"/>
    <w:rsid w:val="2CDB1327"/>
    <w:rsid w:val="2D1B54A6"/>
    <w:rsid w:val="2DE64FD0"/>
    <w:rsid w:val="2DFB13FE"/>
    <w:rsid w:val="2EED2E72"/>
    <w:rsid w:val="2EF73CF0"/>
    <w:rsid w:val="2F8356EF"/>
    <w:rsid w:val="2FCF4325"/>
    <w:rsid w:val="3058392A"/>
    <w:rsid w:val="307912A9"/>
    <w:rsid w:val="3092233C"/>
    <w:rsid w:val="30AE03DF"/>
    <w:rsid w:val="31002E4D"/>
    <w:rsid w:val="31253518"/>
    <w:rsid w:val="31625705"/>
    <w:rsid w:val="31A77C86"/>
    <w:rsid w:val="3256486B"/>
    <w:rsid w:val="32771573"/>
    <w:rsid w:val="32C257C1"/>
    <w:rsid w:val="32FA790B"/>
    <w:rsid w:val="32FE0237"/>
    <w:rsid w:val="338425DB"/>
    <w:rsid w:val="33BF65E9"/>
    <w:rsid w:val="33CA6686"/>
    <w:rsid w:val="3413072D"/>
    <w:rsid w:val="343F40C7"/>
    <w:rsid w:val="34860FB8"/>
    <w:rsid w:val="355058E7"/>
    <w:rsid w:val="365F71E3"/>
    <w:rsid w:val="36612F89"/>
    <w:rsid w:val="36CA6FF3"/>
    <w:rsid w:val="36CE3AA8"/>
    <w:rsid w:val="36F01431"/>
    <w:rsid w:val="370F669F"/>
    <w:rsid w:val="373E49CA"/>
    <w:rsid w:val="374A5790"/>
    <w:rsid w:val="3764396F"/>
    <w:rsid w:val="37B87D95"/>
    <w:rsid w:val="37DE03DC"/>
    <w:rsid w:val="38AB3197"/>
    <w:rsid w:val="38C34BB0"/>
    <w:rsid w:val="38CE513F"/>
    <w:rsid w:val="38D42DDB"/>
    <w:rsid w:val="38D438F0"/>
    <w:rsid w:val="38E30E42"/>
    <w:rsid w:val="38E452E6"/>
    <w:rsid w:val="38F06979"/>
    <w:rsid w:val="39655C33"/>
    <w:rsid w:val="397A0ADB"/>
    <w:rsid w:val="3A233BEC"/>
    <w:rsid w:val="3A286675"/>
    <w:rsid w:val="3A551ACF"/>
    <w:rsid w:val="3A6F0BDF"/>
    <w:rsid w:val="3ABE56C2"/>
    <w:rsid w:val="3B1A4D04"/>
    <w:rsid w:val="3B794451"/>
    <w:rsid w:val="3B9A0AD5"/>
    <w:rsid w:val="3BF249E7"/>
    <w:rsid w:val="3C0D6365"/>
    <w:rsid w:val="3C1D10AF"/>
    <w:rsid w:val="3C377113"/>
    <w:rsid w:val="3CC86CCC"/>
    <w:rsid w:val="3CF03B2D"/>
    <w:rsid w:val="3D4B6DED"/>
    <w:rsid w:val="3D93348B"/>
    <w:rsid w:val="3DA94408"/>
    <w:rsid w:val="3DCF7151"/>
    <w:rsid w:val="3DD671C7"/>
    <w:rsid w:val="3DF66BA7"/>
    <w:rsid w:val="3E530817"/>
    <w:rsid w:val="3E78348C"/>
    <w:rsid w:val="3EA10D78"/>
    <w:rsid w:val="3EEF22EE"/>
    <w:rsid w:val="3F12467F"/>
    <w:rsid w:val="3F5A3736"/>
    <w:rsid w:val="3FF43934"/>
    <w:rsid w:val="401279AA"/>
    <w:rsid w:val="40572841"/>
    <w:rsid w:val="405C4927"/>
    <w:rsid w:val="40873326"/>
    <w:rsid w:val="409A7B1A"/>
    <w:rsid w:val="40CA3982"/>
    <w:rsid w:val="40ED0772"/>
    <w:rsid w:val="41F33743"/>
    <w:rsid w:val="423107D2"/>
    <w:rsid w:val="423F17DF"/>
    <w:rsid w:val="42536FE0"/>
    <w:rsid w:val="427954DF"/>
    <w:rsid w:val="43713D49"/>
    <w:rsid w:val="43B2241F"/>
    <w:rsid w:val="43B3461E"/>
    <w:rsid w:val="43C14C38"/>
    <w:rsid w:val="44223166"/>
    <w:rsid w:val="4479427F"/>
    <w:rsid w:val="448434D9"/>
    <w:rsid w:val="448858FB"/>
    <w:rsid w:val="449249E0"/>
    <w:rsid w:val="44A91191"/>
    <w:rsid w:val="45053FCB"/>
    <w:rsid w:val="458F1874"/>
    <w:rsid w:val="45A45D37"/>
    <w:rsid w:val="45DE2B9B"/>
    <w:rsid w:val="463E3D82"/>
    <w:rsid w:val="46523C6D"/>
    <w:rsid w:val="47134FE8"/>
    <w:rsid w:val="479E5495"/>
    <w:rsid w:val="47EF5C4C"/>
    <w:rsid w:val="48372B88"/>
    <w:rsid w:val="48D4383E"/>
    <w:rsid w:val="48EE48B5"/>
    <w:rsid w:val="496E34D7"/>
    <w:rsid w:val="4984282A"/>
    <w:rsid w:val="49CA36B0"/>
    <w:rsid w:val="49E5322B"/>
    <w:rsid w:val="4A60580C"/>
    <w:rsid w:val="4A61611C"/>
    <w:rsid w:val="4AA37561"/>
    <w:rsid w:val="4ACC3E2B"/>
    <w:rsid w:val="4ADC085D"/>
    <w:rsid w:val="4B094738"/>
    <w:rsid w:val="4B1946C6"/>
    <w:rsid w:val="4B1D70C8"/>
    <w:rsid w:val="4B2941E0"/>
    <w:rsid w:val="4B7C4945"/>
    <w:rsid w:val="4B901F61"/>
    <w:rsid w:val="4BF70A34"/>
    <w:rsid w:val="4C095A4C"/>
    <w:rsid w:val="4C1C4A6D"/>
    <w:rsid w:val="4C8E3AA7"/>
    <w:rsid w:val="4E0D521D"/>
    <w:rsid w:val="4ED8455B"/>
    <w:rsid w:val="4F2E55C7"/>
    <w:rsid w:val="501047BA"/>
    <w:rsid w:val="50317FFC"/>
    <w:rsid w:val="51B12E15"/>
    <w:rsid w:val="51B92560"/>
    <w:rsid w:val="522A3893"/>
    <w:rsid w:val="525E180D"/>
    <w:rsid w:val="53101AD7"/>
    <w:rsid w:val="53330EF4"/>
    <w:rsid w:val="546F1EB3"/>
    <w:rsid w:val="54D93E10"/>
    <w:rsid w:val="552908AA"/>
    <w:rsid w:val="562B40FC"/>
    <w:rsid w:val="57484935"/>
    <w:rsid w:val="57F95136"/>
    <w:rsid w:val="584E7C2E"/>
    <w:rsid w:val="58977827"/>
    <w:rsid w:val="58A75590"/>
    <w:rsid w:val="58A91308"/>
    <w:rsid w:val="590E7F53"/>
    <w:rsid w:val="596811C3"/>
    <w:rsid w:val="5A363A8E"/>
    <w:rsid w:val="5A4E4C06"/>
    <w:rsid w:val="5AB20C65"/>
    <w:rsid w:val="5B22581F"/>
    <w:rsid w:val="5B3439B1"/>
    <w:rsid w:val="5B661C01"/>
    <w:rsid w:val="5D346979"/>
    <w:rsid w:val="5D876642"/>
    <w:rsid w:val="5D893E85"/>
    <w:rsid w:val="5D9E51B4"/>
    <w:rsid w:val="5DB31446"/>
    <w:rsid w:val="5DD6167E"/>
    <w:rsid w:val="5DE62F1A"/>
    <w:rsid w:val="5E0B315A"/>
    <w:rsid w:val="5E490A40"/>
    <w:rsid w:val="5EA16ED0"/>
    <w:rsid w:val="5F3715C2"/>
    <w:rsid w:val="5F3A0F0C"/>
    <w:rsid w:val="5F3F6522"/>
    <w:rsid w:val="5F5F4E16"/>
    <w:rsid w:val="5F902F55"/>
    <w:rsid w:val="5FC54FEB"/>
    <w:rsid w:val="5FC86933"/>
    <w:rsid w:val="5FC87AEB"/>
    <w:rsid w:val="5FD43C95"/>
    <w:rsid w:val="5FF02075"/>
    <w:rsid w:val="609656EC"/>
    <w:rsid w:val="610417D1"/>
    <w:rsid w:val="61232F0A"/>
    <w:rsid w:val="6135490B"/>
    <w:rsid w:val="61A725EA"/>
    <w:rsid w:val="61D94A0C"/>
    <w:rsid w:val="62402CDD"/>
    <w:rsid w:val="62B01BF9"/>
    <w:rsid w:val="62C06610"/>
    <w:rsid w:val="62CE3572"/>
    <w:rsid w:val="63116428"/>
    <w:rsid w:val="6314191D"/>
    <w:rsid w:val="636B3D8A"/>
    <w:rsid w:val="636C7DAE"/>
    <w:rsid w:val="637E3B33"/>
    <w:rsid w:val="63983F1F"/>
    <w:rsid w:val="63A23524"/>
    <w:rsid w:val="63D57455"/>
    <w:rsid w:val="64087C2C"/>
    <w:rsid w:val="643E0106"/>
    <w:rsid w:val="64484BDA"/>
    <w:rsid w:val="64526E4C"/>
    <w:rsid w:val="6463123F"/>
    <w:rsid w:val="647962E7"/>
    <w:rsid w:val="653D3504"/>
    <w:rsid w:val="654153A3"/>
    <w:rsid w:val="654B4327"/>
    <w:rsid w:val="66082BF5"/>
    <w:rsid w:val="665A717C"/>
    <w:rsid w:val="66840BB5"/>
    <w:rsid w:val="668D4017"/>
    <w:rsid w:val="67110E18"/>
    <w:rsid w:val="67B35CFF"/>
    <w:rsid w:val="67E049F9"/>
    <w:rsid w:val="685135FF"/>
    <w:rsid w:val="685314B5"/>
    <w:rsid w:val="685E3D5E"/>
    <w:rsid w:val="68705A8D"/>
    <w:rsid w:val="68787B08"/>
    <w:rsid w:val="689F2F0C"/>
    <w:rsid w:val="68A41BCD"/>
    <w:rsid w:val="68CE402F"/>
    <w:rsid w:val="690305C1"/>
    <w:rsid w:val="691F2BD3"/>
    <w:rsid w:val="694A4441"/>
    <w:rsid w:val="69886D18"/>
    <w:rsid w:val="69BE5E4A"/>
    <w:rsid w:val="6A07640A"/>
    <w:rsid w:val="6A100FD2"/>
    <w:rsid w:val="6A4D41E9"/>
    <w:rsid w:val="6B0C1365"/>
    <w:rsid w:val="6B317667"/>
    <w:rsid w:val="6BA8544F"/>
    <w:rsid w:val="6BD83F86"/>
    <w:rsid w:val="6BE40D9F"/>
    <w:rsid w:val="6BEE421F"/>
    <w:rsid w:val="6C8E6D3B"/>
    <w:rsid w:val="6C986138"/>
    <w:rsid w:val="6CC33035"/>
    <w:rsid w:val="6CD429A0"/>
    <w:rsid w:val="6D527D69"/>
    <w:rsid w:val="6D6A4A10"/>
    <w:rsid w:val="6DB84270"/>
    <w:rsid w:val="6E34575E"/>
    <w:rsid w:val="6E677683"/>
    <w:rsid w:val="6E775CD9"/>
    <w:rsid w:val="6EFC2C4F"/>
    <w:rsid w:val="6F4F7B98"/>
    <w:rsid w:val="6F55769C"/>
    <w:rsid w:val="6FD33AD4"/>
    <w:rsid w:val="705362D1"/>
    <w:rsid w:val="705553D8"/>
    <w:rsid w:val="7085496A"/>
    <w:rsid w:val="70DE03F2"/>
    <w:rsid w:val="70EA78E8"/>
    <w:rsid w:val="718B5455"/>
    <w:rsid w:val="71905160"/>
    <w:rsid w:val="71C54335"/>
    <w:rsid w:val="71ED2E10"/>
    <w:rsid w:val="72113D4E"/>
    <w:rsid w:val="72281098"/>
    <w:rsid w:val="72596DA7"/>
    <w:rsid w:val="72E743B6"/>
    <w:rsid w:val="72F8122F"/>
    <w:rsid w:val="73155AC0"/>
    <w:rsid w:val="74060505"/>
    <w:rsid w:val="746A5998"/>
    <w:rsid w:val="746F7452"/>
    <w:rsid w:val="751A73BE"/>
    <w:rsid w:val="75275C40"/>
    <w:rsid w:val="75734D20"/>
    <w:rsid w:val="759401C8"/>
    <w:rsid w:val="75B3511C"/>
    <w:rsid w:val="75E35A02"/>
    <w:rsid w:val="75F743F6"/>
    <w:rsid w:val="767E69C1"/>
    <w:rsid w:val="76882384"/>
    <w:rsid w:val="77CD4BBB"/>
    <w:rsid w:val="784D188A"/>
    <w:rsid w:val="78846947"/>
    <w:rsid w:val="78AE679B"/>
    <w:rsid w:val="78C7160B"/>
    <w:rsid w:val="79A951B4"/>
    <w:rsid w:val="79E0748E"/>
    <w:rsid w:val="7A882894"/>
    <w:rsid w:val="7AD26045"/>
    <w:rsid w:val="7B29241E"/>
    <w:rsid w:val="7B5470D3"/>
    <w:rsid w:val="7B7A680C"/>
    <w:rsid w:val="7B7F75A9"/>
    <w:rsid w:val="7B9D4E06"/>
    <w:rsid w:val="7C291FC0"/>
    <w:rsid w:val="7C2F4D39"/>
    <w:rsid w:val="7C4610D2"/>
    <w:rsid w:val="7CB244A3"/>
    <w:rsid w:val="7D4B59D6"/>
    <w:rsid w:val="7DAF30C1"/>
    <w:rsid w:val="7E945A53"/>
    <w:rsid w:val="7EA67DD6"/>
    <w:rsid w:val="7F2E24FF"/>
    <w:rsid w:val="7F301E12"/>
    <w:rsid w:val="7FCA53DD"/>
    <w:rsid w:val="7FE83C65"/>
    <w:rsid w:val="7FF15CE7"/>
    <w:rsid w:val="7FF3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unhideWhenUsed/>
    <w:qFormat/>
    <w:uiPriority w:val="0"/>
    <w:pPr>
      <w:ind w:right="96"/>
      <w:jc w:val="center"/>
      <w:outlineLvl w:val="2"/>
    </w:pPr>
    <w:rPr>
      <w:rFonts w:hint="eastAsia" w:ascii="方正楷体简体" w:hAnsi="方正楷体简体" w:eastAsia="方正楷体简体"/>
      <w:sz w:val="36"/>
      <w:szCs w:val="36"/>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3429</Words>
  <Characters>3451</Characters>
  <Lines>1</Lines>
  <Paragraphs>1</Paragraphs>
  <TotalTime>0</TotalTime>
  <ScaleCrop>false</ScaleCrop>
  <LinksUpToDate>false</LinksUpToDate>
  <CharactersWithSpaces>3594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2024-01-02T08:26:00Z</dcterms:created>
  <dc:creator>18296</dc:creator>
  <cp:lastModifiedBy>Administrator</cp:lastModifiedBy>
  <cp:lastPrinted>2024-02-06T06:56:00Z</cp:lastPrinted>
  <dcterms:modified xsi:type="dcterms:W3CDTF">2024-04-30T06:00:34Z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92916D40E26B410993DC6AD43CA51E15</vt:lpwstr>
  </property>
</Properties>
</file>